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F0625C">
        <w:rPr>
          <w:szCs w:val="24"/>
          <w:lang w:val="ru-RU"/>
        </w:rPr>
        <w:t>1</w:t>
      </w:r>
      <w:r w:rsidR="006E4A74">
        <w:rPr>
          <w:szCs w:val="24"/>
          <w:lang w:val="ru-RU"/>
        </w:rPr>
        <w:t>8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0639E">
        <w:rPr>
          <w:szCs w:val="24"/>
          <w:lang w:val="ru-RU"/>
        </w:rPr>
        <w:t>01</w:t>
      </w:r>
      <w:r w:rsidR="00E35DB4">
        <w:rPr>
          <w:szCs w:val="24"/>
          <w:lang w:val="ru-RU"/>
        </w:rPr>
        <w:t>.</w:t>
      </w:r>
      <w:r w:rsidR="0070639E">
        <w:rPr>
          <w:szCs w:val="24"/>
          <w:lang w:val="ru-RU"/>
        </w:rPr>
        <w:t>11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0639E">
        <w:rPr>
          <w:szCs w:val="24"/>
          <w:lang w:val="ru-RU"/>
        </w:rPr>
        <w:t>20</w:t>
      </w:r>
      <w:r w:rsidR="006E4A74">
        <w:rPr>
          <w:szCs w:val="24"/>
          <w:lang w:val="ru-RU"/>
        </w:rPr>
        <w:t>31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6267C5">
        <w:rPr>
          <w:b/>
          <w:szCs w:val="24"/>
          <w:lang w:val="ru-RU"/>
        </w:rPr>
        <w:t>18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6E4A74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6E4A74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6E4A74" w:rsidRDefault="00E35DB4" w:rsidP="00E35DB4">
            <w:pPr>
              <w:jc w:val="both"/>
              <w:rPr>
                <w:sz w:val="22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6E4A74" w:rsidRPr="006E4A74">
              <w:rPr>
                <w:szCs w:val="28"/>
              </w:rPr>
              <w:t>Российская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Федерация</w:t>
            </w:r>
            <w:proofErr w:type="spellEnd"/>
            <w:r w:rsidR="006E4A74" w:rsidRPr="006E4A74">
              <w:rPr>
                <w:szCs w:val="28"/>
              </w:rPr>
              <w:t xml:space="preserve">, </w:t>
            </w:r>
            <w:proofErr w:type="spellStart"/>
            <w:r w:rsidR="006E4A74" w:rsidRPr="006E4A74">
              <w:rPr>
                <w:szCs w:val="28"/>
              </w:rPr>
              <w:t>Ставр</w:t>
            </w:r>
            <w:r w:rsidR="006E4A74" w:rsidRPr="006E4A74">
              <w:rPr>
                <w:szCs w:val="28"/>
              </w:rPr>
              <w:t>о</w:t>
            </w:r>
            <w:r w:rsidR="006E4A74" w:rsidRPr="006E4A74">
              <w:rPr>
                <w:szCs w:val="28"/>
              </w:rPr>
              <w:t>польский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край</w:t>
            </w:r>
            <w:proofErr w:type="spellEnd"/>
            <w:r w:rsidR="006E4A74" w:rsidRPr="006E4A74">
              <w:rPr>
                <w:szCs w:val="28"/>
              </w:rPr>
              <w:t xml:space="preserve">, </w:t>
            </w:r>
            <w:proofErr w:type="spellStart"/>
            <w:r w:rsidR="006E4A74" w:rsidRPr="006E4A74">
              <w:rPr>
                <w:szCs w:val="28"/>
              </w:rPr>
              <w:t>городской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округ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город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Невинномысск</w:t>
            </w:r>
            <w:proofErr w:type="spellEnd"/>
            <w:r w:rsidR="006E4A74" w:rsidRPr="006E4A74">
              <w:rPr>
                <w:szCs w:val="28"/>
              </w:rPr>
              <w:t xml:space="preserve">, </w:t>
            </w:r>
            <w:proofErr w:type="spellStart"/>
            <w:r w:rsidR="006E4A74" w:rsidRPr="006E4A74">
              <w:rPr>
                <w:szCs w:val="28"/>
              </w:rPr>
              <w:t>город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Невинномысск</w:t>
            </w:r>
            <w:proofErr w:type="spellEnd"/>
            <w:r w:rsidR="006E4A74" w:rsidRPr="006E4A74">
              <w:rPr>
                <w:szCs w:val="28"/>
              </w:rPr>
              <w:t xml:space="preserve">, </w:t>
            </w:r>
            <w:proofErr w:type="spellStart"/>
            <w:r w:rsidR="006E4A74" w:rsidRPr="006E4A74">
              <w:rPr>
                <w:szCs w:val="28"/>
              </w:rPr>
              <w:t>улица</w:t>
            </w:r>
            <w:proofErr w:type="spellEnd"/>
            <w:r w:rsidR="006E4A74" w:rsidRPr="006E4A74">
              <w:rPr>
                <w:szCs w:val="28"/>
              </w:rPr>
              <w:t xml:space="preserve"> </w:t>
            </w:r>
            <w:proofErr w:type="spellStart"/>
            <w:r w:rsidR="006E4A74" w:rsidRPr="006E4A74">
              <w:rPr>
                <w:szCs w:val="28"/>
              </w:rPr>
              <w:t>Магистральная</w:t>
            </w:r>
            <w:proofErr w:type="spellEnd"/>
            <w:r w:rsidR="006E4A74" w:rsidRPr="006E4A74">
              <w:rPr>
                <w:szCs w:val="28"/>
              </w:rPr>
              <w:t>, 36.</w:t>
            </w:r>
          </w:p>
          <w:p w:rsidR="006E4A74" w:rsidRPr="006E4A74" w:rsidRDefault="00E35DB4" w:rsidP="006267C5">
            <w:pPr>
              <w:jc w:val="both"/>
              <w:rPr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E4A74" w:rsidRPr="006E4A74">
              <w:rPr>
                <w:szCs w:val="28"/>
              </w:rPr>
              <w:t xml:space="preserve">627 </w:t>
            </w:r>
            <w:proofErr w:type="spellStart"/>
            <w:r w:rsidR="006E4A74" w:rsidRPr="006E4A74">
              <w:rPr>
                <w:szCs w:val="28"/>
              </w:rPr>
              <w:t>кв.м</w:t>
            </w:r>
            <w:proofErr w:type="spellEnd"/>
            <w:r w:rsidR="006E4A74" w:rsidRPr="006E4A74">
              <w:rPr>
                <w:szCs w:val="28"/>
              </w:rPr>
              <w:t>.</w:t>
            </w:r>
          </w:p>
          <w:p w:rsidR="006267C5" w:rsidRPr="00FE0997" w:rsidRDefault="00E35DB4" w:rsidP="006267C5">
            <w:pPr>
              <w:jc w:val="both"/>
              <w:rPr>
                <w:sz w:val="22"/>
                <w:szCs w:val="24"/>
                <w:lang w:val="ru-RU" w:eastAsia="ru-RU"/>
              </w:rPr>
            </w:pPr>
            <w:proofErr w:type="spellStart"/>
            <w:r w:rsidRPr="00831927">
              <w:rPr>
                <w:b/>
                <w:szCs w:val="24"/>
              </w:rPr>
              <w:t>Кадастровый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номер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6E4A74" w:rsidRPr="00E3521B">
              <w:rPr>
                <w:sz w:val="28"/>
                <w:szCs w:val="28"/>
              </w:rPr>
              <w:t>26:1</w:t>
            </w:r>
            <w:r w:rsidR="006E4A74">
              <w:rPr>
                <w:sz w:val="28"/>
                <w:szCs w:val="28"/>
              </w:rPr>
              <w:t>6</w:t>
            </w:r>
            <w:r w:rsidR="006E4A74" w:rsidRPr="00E3521B">
              <w:rPr>
                <w:sz w:val="28"/>
                <w:szCs w:val="28"/>
              </w:rPr>
              <w:t>:</w:t>
            </w:r>
            <w:r w:rsidR="006E4A74">
              <w:rPr>
                <w:sz w:val="28"/>
                <w:szCs w:val="28"/>
              </w:rPr>
              <w:t>071008</w:t>
            </w:r>
            <w:r w:rsidR="006E4A74" w:rsidRPr="00E3521B">
              <w:rPr>
                <w:sz w:val="28"/>
                <w:szCs w:val="28"/>
              </w:rPr>
              <w:t>:</w:t>
            </w:r>
            <w:r w:rsidR="006E4A74">
              <w:rPr>
                <w:sz w:val="28"/>
                <w:szCs w:val="28"/>
              </w:rPr>
              <w:t>13</w:t>
            </w:r>
            <w:r w:rsidR="006E4A74" w:rsidRPr="00E3521B">
              <w:rPr>
                <w:sz w:val="28"/>
                <w:szCs w:val="28"/>
              </w:rPr>
              <w:t>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Категория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Pr="00831927">
              <w:rPr>
                <w:szCs w:val="24"/>
              </w:rPr>
              <w:t>земли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населенных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пунктов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E35DB4" w:rsidRPr="00831927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Разрешенное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использование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proofErr w:type="spellStart"/>
            <w:r w:rsidR="00726056" w:rsidRPr="00831927">
              <w:rPr>
                <w:szCs w:val="24"/>
              </w:rPr>
              <w:t>для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индивидуального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жилищного</w:t>
            </w:r>
            <w:proofErr w:type="spellEnd"/>
            <w:r w:rsidR="00726056" w:rsidRPr="00831927">
              <w:rPr>
                <w:szCs w:val="24"/>
              </w:rPr>
              <w:t xml:space="preserve"> </w:t>
            </w:r>
            <w:proofErr w:type="spellStart"/>
            <w:r w:rsidR="00726056" w:rsidRPr="00831927">
              <w:rPr>
                <w:szCs w:val="24"/>
              </w:rPr>
              <w:t>строительства</w:t>
            </w:r>
            <w:proofErr w:type="spellEnd"/>
            <w:r w:rsidR="00726056" w:rsidRPr="00831927">
              <w:rPr>
                <w:szCs w:val="24"/>
              </w:rPr>
              <w:t>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831927">
              <w:rPr>
                <w:szCs w:val="24"/>
                <w:lang w:val="ru-RU"/>
              </w:rPr>
              <w:t xml:space="preserve">: </w:t>
            </w:r>
            <w:r w:rsidR="006E4A74">
              <w:rPr>
                <w:szCs w:val="24"/>
                <w:lang w:val="ru-RU"/>
              </w:rPr>
              <w:t>561 792,00</w:t>
            </w:r>
            <w:r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3B3044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Сумма задатка</w:t>
            </w:r>
            <w:r w:rsidRPr="00831927">
              <w:rPr>
                <w:szCs w:val="24"/>
                <w:lang w:val="ru-RU"/>
              </w:rPr>
              <w:t>:</w:t>
            </w:r>
            <w:r w:rsidR="006C299B" w:rsidRPr="00831927">
              <w:rPr>
                <w:szCs w:val="24"/>
                <w:lang w:val="ru-RU"/>
              </w:rPr>
              <w:t xml:space="preserve"> </w:t>
            </w:r>
            <w:r w:rsidR="006E4A74">
              <w:rPr>
                <w:szCs w:val="24"/>
                <w:lang w:val="ru-RU"/>
              </w:rPr>
              <w:t>561 792,00</w:t>
            </w:r>
            <w:r w:rsidR="0070639E" w:rsidRPr="00831927">
              <w:rPr>
                <w:szCs w:val="24"/>
                <w:lang w:val="ru-RU"/>
              </w:rPr>
              <w:t xml:space="preserve"> </w:t>
            </w:r>
            <w:r w:rsidR="00FB2B91" w:rsidRPr="00831927">
              <w:rPr>
                <w:szCs w:val="24"/>
                <w:lang w:val="ru-RU"/>
              </w:rPr>
              <w:t xml:space="preserve"> руб.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6E4A74">
              <w:rPr>
                <w:szCs w:val="24"/>
                <w:lang w:val="ru-RU"/>
              </w:rPr>
              <w:t>16853,80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6E4A74" w:rsidRPr="006E4A74" w:rsidRDefault="006E4A74" w:rsidP="006E4A74">
            <w:pPr>
              <w:jc w:val="both"/>
              <w:rPr>
                <w:szCs w:val="28"/>
              </w:rPr>
            </w:pPr>
            <w:r w:rsidRPr="006E4A74">
              <w:rPr>
                <w:szCs w:val="28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>роительства зоны Ж-</w:t>
            </w:r>
            <w:r w:rsidR="00726056" w:rsidRPr="00831927">
              <w:rPr>
                <w:szCs w:val="24"/>
                <w:lang w:val="ru-RU"/>
              </w:rPr>
              <w:t>1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холодного водоснабжения – Приложение № 1 к типовому договору о подключении </w:t>
      </w:r>
      <w:r w:rsidRPr="00151C71">
        <w:rPr>
          <w:bCs/>
          <w:szCs w:val="24"/>
          <w:lang w:val="ru-RU"/>
        </w:rPr>
        <w:lastRenderedPageBreak/>
        <w:t>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r w:rsidR="006E4A74">
        <w:rPr>
          <w:bCs/>
          <w:szCs w:val="24"/>
          <w:lang w:val="ru-RU"/>
        </w:rPr>
        <w:t>Магистральная</w:t>
      </w:r>
      <w:r>
        <w:rPr>
          <w:bCs/>
          <w:szCs w:val="24"/>
          <w:lang w:val="ru-RU"/>
        </w:rPr>
        <w:t>, 3</w:t>
      </w:r>
      <w:r w:rsidR="00541DAD">
        <w:rPr>
          <w:bCs/>
          <w:szCs w:val="24"/>
          <w:lang w:val="ru-RU"/>
        </w:rPr>
        <w:t>6</w:t>
      </w:r>
      <w:r w:rsidR="0062064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(кадастровый номер земельного участка 26:16:0710</w:t>
      </w:r>
      <w:r w:rsidR="00BC6146">
        <w:rPr>
          <w:bCs/>
          <w:szCs w:val="24"/>
          <w:lang w:val="ru-RU"/>
        </w:rPr>
        <w:t>0</w:t>
      </w:r>
      <w:r w:rsidR="0062064D"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>:</w:t>
      </w:r>
      <w:r w:rsidR="0062064D">
        <w:rPr>
          <w:bCs/>
          <w:szCs w:val="24"/>
          <w:lang w:val="ru-RU"/>
        </w:rPr>
        <w:t>1</w:t>
      </w:r>
      <w:r w:rsidR="00541DAD">
        <w:rPr>
          <w:bCs/>
          <w:szCs w:val="24"/>
          <w:lang w:val="ru-RU"/>
        </w:rPr>
        <w:t>3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6267C5">
        <w:rPr>
          <w:b/>
          <w:szCs w:val="24"/>
          <w:lang w:val="ru-RU"/>
        </w:rPr>
        <w:t>16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1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  <w:bookmarkStart w:id="0" w:name="_GoBack"/>
      <w:bookmarkEnd w:id="0"/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267C5">
        <w:rPr>
          <w:b/>
          <w:szCs w:val="24"/>
          <w:lang w:val="ru-RU"/>
        </w:rPr>
        <w:t>13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267C5">
        <w:rPr>
          <w:b/>
          <w:szCs w:val="24"/>
          <w:lang w:val="ru-RU"/>
        </w:rPr>
        <w:t>13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267C5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67C5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lastRenderedPageBreak/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62064D">
        <w:rPr>
          <w:b/>
          <w:szCs w:val="24"/>
          <w:lang w:val="ru-RU"/>
        </w:rPr>
        <w:t>16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62064D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831927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</w:t>
      </w:r>
      <w:r w:rsidR="00831927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10" w:rsidRDefault="00051810">
      <w:r>
        <w:separator/>
      </w:r>
    </w:p>
  </w:endnote>
  <w:endnote w:type="continuationSeparator" w:id="0">
    <w:p w:rsidR="00051810" w:rsidRDefault="0005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10" w:rsidRDefault="00051810">
      <w:r>
        <w:separator/>
      </w:r>
    </w:p>
  </w:footnote>
  <w:footnote w:type="continuationSeparator" w:id="0">
    <w:p w:rsidR="00051810" w:rsidRDefault="0005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DAD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67C5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15235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25</cp:revision>
  <cp:lastPrinted>2019-11-12T13:30:00Z</cp:lastPrinted>
  <dcterms:created xsi:type="dcterms:W3CDTF">2017-08-30T13:19:00Z</dcterms:created>
  <dcterms:modified xsi:type="dcterms:W3CDTF">2019-11-12T13:30:00Z</dcterms:modified>
</cp:coreProperties>
</file>