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258" w:y="7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144" w:h="1474" w:hRule="exact" w:wrap="none" w:vAnchor="page" w:hAnchor="page" w:x="2099" w:y="1140"/>
        <w:widowControl w:val="0"/>
        <w:keepNext w:val="0"/>
        <w:keepLines w:val="0"/>
        <w:shd w:val="clear" w:color="auto" w:fill="auto"/>
        <w:bidi w:val="0"/>
        <w:jc w:val="center"/>
        <w:spacing w:before="0" w:after="0" w:line="283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проекту решения Думы города Невинномысска</w:t>
        <w:br/>
        <w:t>«О внесении изменения в Положение о порядке размещения средств</w:t>
        <w:br/>
        <w:t>наружной рекламы на территории муниципального образования городского</w:t>
        <w:br/>
        <w:t>округа - города Невинномысска, утвержденное решением Думы города</w:t>
        <w:br/>
        <w:t>Невинномысска от 25 декабря 2013 г. № 496-46»</w:t>
      </w:r>
    </w:p>
    <w:p>
      <w:pPr>
        <w:pStyle w:val="Style3"/>
        <w:numPr>
          <w:ilvl w:val="0"/>
          <w:numId w:val="1"/>
        </w:numPr>
        <w:framePr w:w="9427" w:h="13062" w:hRule="exact" w:wrap="none" w:vAnchor="page" w:hAnchor="page" w:x="1979" w:y="3069"/>
        <w:tabs>
          <w:tab w:leader="none" w:pos="350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Степень регулирующего воздействия проекта нормативного правового</w:t>
      </w:r>
    </w:p>
    <w:p>
      <w:pPr>
        <w:pStyle w:val="Style3"/>
        <w:framePr w:w="9427" w:h="13062" w:hRule="exact" w:wrap="none" w:vAnchor="page" w:hAnchor="page" w:x="1979" w:y="3069"/>
        <w:tabs>
          <w:tab w:leader="underscore" w:pos="938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rStyle w:val="CharStyle5"/>
        </w:rPr>
        <w:t>акта: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27" w:h="13062" w:hRule="exact" w:wrap="none" w:vAnchor="page" w:hAnchor="page" w:x="1979" w:y="3069"/>
        <w:tabs>
          <w:tab w:leader="underscore" w:pos="758" w:val="left"/>
          <w:tab w:leader="underscore" w:pos="9427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5"/>
        </w:rPr>
        <w:t>средняя.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numPr>
          <w:ilvl w:val="0"/>
          <w:numId w:val="1"/>
        </w:numPr>
        <w:framePr w:w="9427" w:h="13062" w:hRule="exact" w:wrap="none" w:vAnchor="page" w:hAnchor="page" w:x="1979" w:y="3069"/>
        <w:tabs>
          <w:tab w:leader="none" w:pos="38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Описание проблемы, на решение которой направлено муниципальное</w:t>
      </w:r>
    </w:p>
    <w:p>
      <w:pPr>
        <w:pStyle w:val="Style3"/>
        <w:framePr w:w="9427" w:h="13062" w:hRule="exact" w:wrap="none" w:vAnchor="page" w:hAnchor="page" w:x="1979" w:y="3069"/>
        <w:tabs>
          <w:tab w:leader="underscore" w:pos="939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регулирование, оценка негативных эффектов, возникающих в связи с </w:t>
      </w:r>
      <w:r>
        <w:rPr>
          <w:rStyle w:val="CharStyle5"/>
        </w:rPr>
        <w:t>наличием рассматриваемой проблемы: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27" w:h="13062" w:hRule="exact" w:wrap="none" w:vAnchor="page" w:hAnchor="page" w:x="1979" w:y="3069"/>
        <w:tabs>
          <w:tab w:leader="underscore" w:pos="9398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целью повышения инвестиционной привлекательности изменен срок, на который может заключаться договор на установку и эксплуатацию рекламных конструкций между их владельцем и собственником земельного участка, здания или иного недвижимого имущества, к которому присоединяется рекламная конструкция, либо лицом, уполномоченным собственником такого имущества, в том числе арендатором с 8 лет на 10 лет, в связи с чем в нормативно правовой акт, устанавливающий порядок </w:t>
      </w:r>
      <w:r>
        <w:rPr>
          <w:rStyle w:val="CharStyle5"/>
        </w:rPr>
        <w:t>заключения договора, необходимо внести соответствующие изменения.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numPr>
          <w:ilvl w:val="0"/>
          <w:numId w:val="1"/>
        </w:numPr>
        <w:framePr w:w="9427" w:h="13062" w:hRule="exact" w:wrap="none" w:vAnchor="page" w:hAnchor="page" w:x="1979" w:y="3069"/>
        <w:tabs>
          <w:tab w:leader="none" w:pos="322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Ссылки на нормативные правовые акты или их отдельные положения, в </w:t>
      </w:r>
      <w:r>
        <w:rPr>
          <w:rStyle w:val="CharStyle5"/>
        </w:rPr>
        <w:t>соответствии с которыми осуществляется муниципальное регулирование:</w:t>
      </w:r>
    </w:p>
    <w:p>
      <w:pPr>
        <w:pStyle w:val="Style3"/>
        <w:framePr w:w="9427" w:h="13062" w:hRule="exact" w:wrap="none" w:vAnchor="page" w:hAnchor="page" w:x="1979" w:y="3069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Гражданский кодекс Российской Федерации;</w:t>
      </w:r>
    </w:p>
    <w:p>
      <w:pPr>
        <w:pStyle w:val="Style3"/>
        <w:framePr w:w="9427" w:h="13062" w:hRule="exact" w:wrap="none" w:vAnchor="page" w:hAnchor="page" w:x="1979" w:y="3069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>
      <w:pPr>
        <w:pStyle w:val="Style3"/>
        <w:framePr w:w="9427" w:h="13062" w:hRule="exact" w:wrap="none" w:vAnchor="page" w:hAnchor="page" w:x="1979" w:y="3069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13 марта 2006 года «О рекламе»;</w:t>
      </w:r>
    </w:p>
    <w:p>
      <w:pPr>
        <w:pStyle w:val="Style3"/>
        <w:framePr w:w="9427" w:h="13062" w:hRule="exact" w:wrap="none" w:vAnchor="page" w:hAnchor="page" w:x="1979" w:y="3069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Устав муниципального образования города Невинномысска Ставропольского края, принятый решением Думы города Невинномысска от 26 сентября 2012 г. № 263-24;</w:t>
      </w:r>
    </w:p>
    <w:p>
      <w:pPr>
        <w:pStyle w:val="Style3"/>
        <w:framePr w:w="9427" w:h="13062" w:hRule="exact" w:wrap="none" w:vAnchor="page" w:hAnchor="page" w:x="1979" w:y="3069"/>
        <w:tabs>
          <w:tab w:leader="underscore" w:pos="939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Положение о порядке размещения средств наружной рекламы на территории муниципального образования городского округа - города Невинномысска, утвержденное Решение Думы города Невинномысска </w:t>
      </w:r>
      <w:r>
        <w:rPr>
          <w:rStyle w:val="CharStyle5"/>
        </w:rPr>
        <w:t>Ставропольского края от 25.12.2013 № 496-46.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numPr>
          <w:ilvl w:val="0"/>
          <w:numId w:val="1"/>
        </w:numPr>
        <w:framePr w:w="9427" w:h="13062" w:hRule="exact" w:wrap="none" w:vAnchor="page" w:hAnchor="page" w:x="1979" w:y="3069"/>
        <w:tabs>
          <w:tab w:leader="none" w:pos="490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основных группах субъектов предпринимательской,</w:t>
      </w:r>
    </w:p>
    <w:p>
      <w:pPr>
        <w:pStyle w:val="Style3"/>
        <w:framePr w:w="9427" w:h="13062" w:hRule="exact" w:wrap="none" w:vAnchor="page" w:hAnchor="page" w:x="1979" w:y="3069"/>
        <w:tabs>
          <w:tab w:leader="underscore" w:pos="4848" w:val="left"/>
          <w:tab w:leader="underscore" w:pos="938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</w:t>
      </w:r>
      <w:r>
        <w:rPr>
          <w:rStyle w:val="CharStyle5"/>
        </w:rPr>
        <w:t>оценку таких групп: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3"/>
        <w:framePr w:w="9427" w:h="13062" w:hRule="exact" w:wrap="none" w:vAnchor="page" w:hAnchor="page" w:x="1979" w:y="3069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города Невинномысска,</w:t>
      </w:r>
    </w:p>
    <w:p>
      <w:pPr>
        <w:pStyle w:val="Style3"/>
        <w:framePr w:w="9427" w:h="13062" w:hRule="exact" w:wrap="none" w:vAnchor="page" w:hAnchor="page" w:x="1979" w:y="3069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комитет по управлению муниципальным имуществом администрации города Невинномысска (далее - Комитет),</w:t>
      </w:r>
    </w:p>
    <w:p>
      <w:pPr>
        <w:pStyle w:val="Style3"/>
        <w:framePr w:w="9427" w:h="13062" w:hRule="exact" w:wrap="none" w:vAnchor="page" w:hAnchor="page" w:x="1979" w:y="3069"/>
        <w:tabs>
          <w:tab w:leader="underscore" w:pos="9197" w:val="left"/>
          <w:tab w:leader="underscore" w:pos="937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0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юридические лица, независимо от форм собственности и организационно-правовых форм, индивидуальные предприниматели, а также </w:t>
      </w:r>
      <w:r>
        <w:rPr>
          <w:rStyle w:val="CharStyle5"/>
        </w:rPr>
        <w:t>физические лица.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3"/>
        <w:numPr>
          <w:ilvl w:val="0"/>
          <w:numId w:val="1"/>
        </w:numPr>
        <w:framePr w:w="9427" w:h="13062" w:hRule="exact" w:wrap="none" w:vAnchor="page" w:hAnchor="page" w:x="1979" w:y="3069"/>
        <w:tabs>
          <w:tab w:leader="none" w:pos="278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Новые функции, полномочия, права и обязанности администрации города,</w:t>
      </w:r>
    </w:p>
    <w:p>
      <w:pPr>
        <w:pStyle w:val="Style3"/>
        <w:framePr w:w="9427" w:h="13062" w:hRule="exact" w:wrap="none" w:vAnchor="page" w:hAnchor="page" w:x="1979" w:y="3069"/>
        <w:tabs>
          <w:tab w:leader="underscore" w:pos="937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rStyle w:val="CharStyle5"/>
        </w:rPr>
        <w:t>возникающие (изменяющиеся) при муниципальном регулировании: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27" w:h="13062" w:hRule="exact" w:wrap="none" w:vAnchor="page" w:hAnchor="page" w:x="1979" w:y="3069"/>
        <w:tabs>
          <w:tab w:leader="underscore" w:pos="937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заключение договора на установку и эксплуатацию рекламных </w:t>
      </w:r>
      <w:r>
        <w:rPr>
          <w:rStyle w:val="CharStyle5"/>
        </w:rPr>
        <w:t>конструкций Комитетом на 10 лет.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rap="none" w:vAnchor="page" w:hAnchor="page" w:x="6565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numPr>
          <w:ilvl w:val="0"/>
          <w:numId w:val="3"/>
        </w:numPr>
        <w:framePr w:w="9418" w:h="9512" w:hRule="exact" w:wrap="none" w:vAnchor="page" w:hAnchor="page" w:x="1952" w:y="1281"/>
        <w:tabs>
          <w:tab w:leader="none" w:pos="566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</w:t>
      </w:r>
    </w:p>
    <w:p>
      <w:pPr>
        <w:pStyle w:val="Style3"/>
        <w:framePr w:w="9418" w:h="9512" w:hRule="exact" w:wrap="none" w:vAnchor="page" w:hAnchor="page" w:x="1952" w:y="1281"/>
        <w:tabs>
          <w:tab w:leader="underscore" w:pos="937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5"/>
        </w:rPr>
        <w:t>ограничений для таких субъектов: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18" w:h="9512" w:hRule="exact" w:wrap="none" w:vAnchor="page" w:hAnchor="page" w:x="1952" w:y="1281"/>
        <w:tabs>
          <w:tab w:leader="underscore" w:pos="754" w:val="left"/>
          <w:tab w:leader="underscore" w:pos="9418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5"/>
        </w:rPr>
        <w:t>не устанавливаются.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numPr>
          <w:ilvl w:val="0"/>
          <w:numId w:val="3"/>
        </w:numPr>
        <w:framePr w:w="9418" w:h="9512" w:hRule="exact" w:wrap="none" w:vAnchor="page" w:hAnchor="page" w:x="1952" w:y="1281"/>
        <w:tabs>
          <w:tab w:leader="none" w:pos="403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Оценка расходов субъектов предпринимательской и инвестиционной</w:t>
      </w:r>
    </w:p>
    <w:p>
      <w:pPr>
        <w:pStyle w:val="Style3"/>
        <w:framePr w:w="9418" w:h="9512" w:hRule="exact" w:wrap="none" w:vAnchor="page" w:hAnchor="page" w:x="1952" w:y="1281"/>
        <w:tabs>
          <w:tab w:leader="underscore" w:pos="9389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деятельности в случае, когда реализация проекта нормативного правового </w:t>
      </w:r>
      <w:r>
        <w:rPr>
          <w:rStyle w:val="CharStyle5"/>
        </w:rPr>
        <w:t>акта будет способствовать возникновению таких расходов: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18" w:h="9512" w:hRule="exact" w:wrap="none" w:vAnchor="page" w:hAnchor="page" w:x="1952" w:y="1281"/>
        <w:tabs>
          <w:tab w:leader="underscore" w:pos="937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реализации проекта нормативного правового акта расходы у </w:t>
      </w:r>
      <w:r>
        <w:rPr>
          <w:rStyle w:val="CharStyle5"/>
        </w:rPr>
        <w:t>субъектов предпринимательской деятельности не возникают.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3"/>
        <w:numPr>
          <w:ilvl w:val="0"/>
          <w:numId w:val="3"/>
        </w:numPr>
        <w:framePr w:w="9418" w:h="9512" w:hRule="exact" w:wrap="none" w:vAnchor="page" w:hAnchor="page" w:x="1952" w:y="1281"/>
        <w:tabs>
          <w:tab w:leader="none" w:pos="422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Ожидаемые результаты и риски решения проблемы предложенным способом муниципального регулирования, риски негативных последствий:</w:t>
      </w:r>
    </w:p>
    <w:p>
      <w:pPr>
        <w:pStyle w:val="Style3"/>
        <w:framePr w:w="9418" w:h="9512" w:hRule="exact" w:wrap="none" w:vAnchor="page" w:hAnchor="page" w:x="1952" w:y="128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изменение срока заключения договора на установку и эксплуатацию рекламных конструкций;</w:t>
      </w:r>
    </w:p>
    <w:p>
      <w:pPr>
        <w:pStyle w:val="Style3"/>
        <w:framePr w:w="9418" w:h="9512" w:hRule="exact" w:wrap="none" w:vAnchor="page" w:hAnchor="page" w:x="1952" w:y="1281"/>
        <w:tabs>
          <w:tab w:leader="underscore" w:pos="938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принятии нормативного правового акта риски невозможности решения проблемы предложенным способом и риски непредвиденных </w:t>
      </w:r>
      <w:r>
        <w:rPr>
          <w:rStyle w:val="CharStyle5"/>
        </w:rPr>
        <w:t>негативных последствий отсутствуют.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numPr>
          <w:ilvl w:val="0"/>
          <w:numId w:val="3"/>
        </w:numPr>
        <w:framePr w:w="9418" w:h="9512" w:hRule="exact" w:wrap="none" w:vAnchor="page" w:hAnchor="page" w:x="1952" w:y="1281"/>
        <w:tabs>
          <w:tab w:leader="none" w:pos="302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Предполагаемая дата вступления в силу проекта нормативного правового</w:t>
      </w:r>
    </w:p>
    <w:p>
      <w:pPr>
        <w:pStyle w:val="Style3"/>
        <w:framePr w:w="9418" w:h="9512" w:hRule="exact" w:wrap="none" w:vAnchor="page" w:hAnchor="page" w:x="1952" w:y="1281"/>
        <w:tabs>
          <w:tab w:leader="underscore" w:pos="937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акта, необходимость установления переходного периода, распространения </w:t>
      </w:r>
      <w:r>
        <w:rPr>
          <w:rStyle w:val="CharStyle5"/>
        </w:rPr>
        <w:t>его действия на ранее возникшие отношения: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18" w:h="9512" w:hRule="exact" w:wrap="none" w:vAnchor="page" w:hAnchor="page" w:x="1952" w:y="128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вступление в силу нормативного правового акта планируется со дня его подписания;</w:t>
      </w:r>
    </w:p>
    <w:p>
      <w:pPr>
        <w:pStyle w:val="Style3"/>
        <w:framePr w:w="9418" w:h="9512" w:hRule="exact" w:wrap="none" w:vAnchor="page" w:hAnchor="page" w:x="1952" w:y="128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установление переходного периода не требуется;</w:t>
      </w:r>
    </w:p>
    <w:p>
      <w:pPr>
        <w:pStyle w:val="Style3"/>
        <w:framePr w:w="9418" w:h="9512" w:hRule="exact" w:wrap="none" w:vAnchor="page" w:hAnchor="page" w:x="1952" w:y="1281"/>
        <w:tabs>
          <w:tab w:leader="underscore" w:pos="9374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действие нормативного правового акта на ранее возникшие </w:t>
      </w:r>
      <w:r>
        <w:rPr>
          <w:rStyle w:val="CharStyle5"/>
        </w:rPr>
        <w:t>правоотношения не распространяется.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numPr>
          <w:ilvl w:val="0"/>
          <w:numId w:val="3"/>
        </w:numPr>
        <w:framePr w:w="9418" w:h="9512" w:hRule="exact" w:wrap="none" w:vAnchor="page" w:hAnchor="page" w:x="1952" w:y="1281"/>
        <w:tabs>
          <w:tab w:leader="none" w:pos="437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сведения, которые, по мнению разработчика, позволяют оценить</w:t>
      </w:r>
    </w:p>
    <w:p>
      <w:pPr>
        <w:pStyle w:val="Style3"/>
        <w:framePr w:w="9418" w:h="9512" w:hRule="exact" w:wrap="none" w:vAnchor="page" w:hAnchor="page" w:x="1952" w:y="1281"/>
        <w:tabs>
          <w:tab w:leader="underscore" w:pos="9370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rStyle w:val="CharStyle5"/>
        </w:rPr>
        <w:t>обоснованность предлагаемого способа муниципального регулирования: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3"/>
        <w:framePr w:w="9418" w:h="9512" w:hRule="exact" w:wrap="none" w:vAnchor="page" w:hAnchor="page" w:x="1952" w:y="1281"/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реализация нормативного правового акта не повлечет выделение дополнительных финансовых средств из бюджета города Невинномысска.</w:t>
      </w:r>
    </w:p>
    <w:p>
      <w:pPr>
        <w:pStyle w:val="Style3"/>
        <w:framePr w:w="4781" w:h="787" w:hRule="exact" w:wrap="none" w:vAnchor="page" w:hAnchor="page" w:x="1961" w:y="1155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комитета по управлению муниципальным имуществом администрации города Невинномысска</w:t>
      </w:r>
    </w:p>
    <w:p>
      <w:pPr>
        <w:framePr w:wrap="none" w:vAnchor="page" w:hAnchor="page" w:x="7323" w:y="115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41pt;">
            <v:imagedata r:id="rId5" r:href="rId6"/>
          </v:shape>
        </w:pict>
      </w:r>
    </w:p>
    <w:p>
      <w:pPr>
        <w:pStyle w:val="Style8"/>
        <w:framePr w:wrap="none" w:vAnchor="page" w:hAnchor="page" w:x="9344" w:y="119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М.Р. Арсамеков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