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4536"/>
        <w:jc w:val="center"/>
        <w:rPr>
          <w:sz w:val="28"/>
        </w:rPr>
      </w:pPr>
      <w:r>
        <w:rPr>
          <w:sz w:val="28"/>
        </w:rPr>
        <w:t>Приложение 3</w:t>
      </w:r>
    </w:p>
    <w:p w14:paraId="04000000">
      <w:pPr>
        <w:ind w:firstLine="0" w:left="4536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 программ</w:t>
      </w:r>
      <w:r>
        <w:rPr>
          <w:sz w:val="28"/>
        </w:rPr>
        <w:t>е</w:t>
      </w:r>
    </w:p>
    <w:p w14:paraId="05000000">
      <w:pPr>
        <w:ind w:firstLine="0" w:left="4536"/>
        <w:jc w:val="center"/>
        <w:rPr>
          <w:sz w:val="28"/>
        </w:rPr>
      </w:pPr>
      <w:r>
        <w:rPr>
          <w:sz w:val="28"/>
        </w:rPr>
        <w:t>«Межнациональные отношения,</w:t>
      </w:r>
    </w:p>
    <w:p w14:paraId="06000000">
      <w:pPr>
        <w:ind w:firstLine="0" w:left="4536"/>
        <w:jc w:val="center"/>
        <w:rPr>
          <w:sz w:val="28"/>
        </w:rPr>
      </w:pPr>
      <w:r>
        <w:rPr>
          <w:sz w:val="28"/>
        </w:rPr>
        <w:t xml:space="preserve">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z w:val="28"/>
        </w:rPr>
        <w:t xml:space="preserve"> </w:t>
      </w:r>
      <w:r>
        <w:rPr>
          <w:sz w:val="28"/>
        </w:rPr>
        <w:t>и наркомании в городе Невинномысске»</w:t>
      </w:r>
    </w:p>
    <w:p w14:paraId="07000000">
      <w:pPr>
        <w:ind w:firstLine="0" w:left="4536"/>
        <w:jc w:val="center"/>
        <w:rPr>
          <w:sz w:val="28"/>
        </w:rPr>
      </w:pPr>
    </w:p>
    <w:p w14:paraId="08000000">
      <w:pPr>
        <w:ind w:firstLine="0" w:left="4536"/>
        <w:jc w:val="center"/>
        <w:rPr>
          <w:sz w:val="28"/>
        </w:rPr>
      </w:pPr>
    </w:p>
    <w:p w14:paraId="09000000">
      <w:pPr>
        <w:ind/>
        <w:jc w:val="right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ОБЪ</w:t>
      </w:r>
      <w:r>
        <w:rPr>
          <w:sz w:val="28"/>
        </w:rPr>
        <w:t>Е</w:t>
      </w:r>
      <w:r>
        <w:rPr>
          <w:sz w:val="28"/>
        </w:rPr>
        <w:t xml:space="preserve">МЫ 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финансового обеспечения муниципальной программы «Межнациональные отношения, 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правонарушений и наркомании в городе Невинномысске»</w:t>
      </w:r>
    </w:p>
    <w:p w14:paraId="0C000000"/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6"/>
        <w:gridCol w:w="3145"/>
        <w:gridCol w:w="2900"/>
        <w:gridCol w:w="1105"/>
        <w:gridCol w:w="966"/>
        <w:gridCol w:w="967"/>
      </w:tblGrid>
      <w:tr>
        <w:trPr>
          <w:trHeight w:hRule="atLeast" w:val="814"/>
          <w:tblHeader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type="dxa" w:w="2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type="dxa" w:w="30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мы финансового обеспечения по годам (тыс. рублей)</w:t>
            </w:r>
          </w:p>
        </w:tc>
      </w:tr>
      <w:tr>
        <w:trPr>
          <w:trHeight w:hRule="atLeast" w:val="60"/>
          <w:tblHeader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</w:t>
            </w:r>
          </w:p>
        </w:tc>
      </w:tr>
    </w:tbl>
    <w:p w14:paraId="14000000">
      <w:pPr>
        <w:rPr>
          <w:sz w:val="2"/>
        </w:rPr>
      </w:pP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6"/>
        <w:gridCol w:w="3145"/>
        <w:gridCol w:w="2900"/>
        <w:gridCol w:w="1105"/>
        <w:gridCol w:w="966"/>
        <w:gridCol w:w="967"/>
      </w:tblGrid>
      <w:tr>
        <w:trPr>
          <w:tblHeader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3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 w:right="-8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hRule="atLeast" w:val="291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«Межнациональные отношения, поддержка казачества, </w:t>
            </w:r>
            <w:r>
              <w:rPr>
                <w:sz w:val="16"/>
              </w:rPr>
              <w:t>профилактика экстремизма, терроризма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правонарушений и наркомании в городе Невинномысске»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13 185,92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4 241,92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4 241,92</w:t>
            </w:r>
          </w:p>
        </w:tc>
      </w:tr>
      <w:tr>
        <w:trPr>
          <w:trHeight w:hRule="atLeast" w:val="221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75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hRule="atLeast" w:val="570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  <w:r>
              <w:rPr>
                <w:sz w:val="16"/>
              </w:rPr>
              <w:t xml:space="preserve"> Невинномысска (далее – город)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hRule="atLeast" w:val="374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бюджета города, в том числе предусмотренные: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13 085,92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4 141,92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4 141,92</w:t>
            </w:r>
          </w:p>
        </w:tc>
      </w:tr>
      <w:tr>
        <w:trPr>
          <w:trHeight w:hRule="atLeast" w:val="403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4 289,17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3 845,17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3 845,17</w:t>
            </w:r>
          </w:p>
        </w:tc>
      </w:tr>
      <w:tr>
        <w:trPr>
          <w:trHeight w:hRule="atLeast" w:val="403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муниципальное казенное учреждение «Управление по чрезвычайным ситуациям и гражданской обороне города Невинномысска»</w:t>
            </w:r>
            <w:r>
              <w:rPr>
                <w:sz w:val="16"/>
              </w:rPr>
              <w:t xml:space="preserve"> (далее – МКУ</w:t>
            </w:r>
            <w:r>
              <w:rPr>
                <w:sz w:val="16"/>
              </w:rPr>
              <w:t xml:space="preserve"> «Управление</w:t>
            </w:r>
            <w:r>
              <w:rPr>
                <w:sz w:val="16"/>
              </w:rPr>
              <w:t xml:space="preserve"> ЧС</w:t>
            </w:r>
            <w:r>
              <w:rPr>
                <w:sz w:val="16"/>
              </w:rPr>
              <w:t xml:space="preserve"> и ГО»</w:t>
            </w:r>
            <w:r>
              <w:rPr>
                <w:sz w:val="16"/>
              </w:rPr>
              <w:t>)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8 796,75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235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внебюджетных источников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93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«Межнациональные о</w:t>
            </w:r>
            <w:r>
              <w:rPr>
                <w:sz w:val="16"/>
              </w:rPr>
              <w:t xml:space="preserve">тношения, поддержка казачества </w:t>
            </w:r>
            <w:r>
              <w:rPr>
                <w:sz w:val="16"/>
              </w:rPr>
              <w:t xml:space="preserve">и </w:t>
            </w:r>
            <w:r>
              <w:rPr>
                <w:sz w:val="16"/>
              </w:rPr>
              <w:t xml:space="preserve">профилактика </w:t>
            </w:r>
            <w:r>
              <w:rPr>
                <w:sz w:val="16"/>
              </w:rPr>
              <w:t>экстремизма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 городе Невинномысске»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3 804,91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</w:tr>
      <w:tr>
        <w:trPr>
          <w:trHeight w:hRule="atLeast" w:val="191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83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</w:t>
            </w:r>
            <w:r>
              <w:rPr>
                <w:sz w:val="16"/>
              </w:rPr>
              <w:t>ва бюджета Ставропольского края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67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z w:val="16"/>
              </w:rPr>
              <w:t xml:space="preserve"> бюджета города, в том числе предусмотренные: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3 804,91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</w:tr>
      <w:tr>
        <w:trPr>
          <w:trHeight w:hRule="atLeast" w:val="33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3 804,91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</w:tr>
      <w:tr>
        <w:trPr>
          <w:trHeight w:hRule="atLeast" w:val="235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редства внебюджетных источников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22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 w:firstLine="0" w:left="-44"/>
              <w:jc w:val="both"/>
              <w:rPr>
                <w:sz w:val="16"/>
              </w:rPr>
            </w:pPr>
            <w:r>
              <w:rPr>
                <w:sz w:val="16"/>
              </w:rPr>
              <w:t>Основное мероприятие 1</w:t>
            </w:r>
            <w:r>
              <w:rPr>
                <w:sz w:val="16"/>
              </w:rPr>
              <w:t xml:space="preserve"> подпрограммы 1: о</w:t>
            </w:r>
            <w:r>
              <w:rPr>
                <w:sz w:val="16"/>
              </w:rPr>
              <w:t xml:space="preserve">рганизационное и научно - методическое обеспечение </w:t>
            </w:r>
            <w:r>
              <w:rPr>
                <w:sz w:val="16"/>
              </w:rPr>
              <w:t xml:space="preserve">мероприятий по межнациональным отношениям и </w:t>
            </w:r>
            <w:r>
              <w:rPr>
                <w:sz w:val="16"/>
              </w:rPr>
              <w:t>профилактик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экстремизма</w:t>
            </w:r>
            <w:r>
              <w:rPr>
                <w:sz w:val="16"/>
              </w:rPr>
              <w:t xml:space="preserve"> в городе </w:t>
            </w:r>
            <w:r>
              <w:rPr>
                <w:sz w:val="16"/>
              </w:rPr>
              <w:t>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hRule="atLeast" w:val="245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8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</w:t>
            </w:r>
            <w:r>
              <w:rPr>
                <w:sz w:val="16"/>
              </w:rPr>
              <w:t>ва бюджета Ставропольского края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61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z w:val="16"/>
              </w:rPr>
              <w:t xml:space="preserve"> бюджета города, в том числе предусмотренные: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hRule="atLeast" w:val="360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hRule="atLeast" w:val="208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редства внебюджетных источников</w:t>
            </w:r>
            <w:r>
              <w:rPr>
                <w:sz w:val="16"/>
              </w:rPr>
              <w:t>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80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>2 подпрограммы 1</w:t>
            </w:r>
            <w:r>
              <w:rPr>
                <w:sz w:val="16"/>
              </w:rPr>
              <w:t xml:space="preserve">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</w:tr>
      <w:tr>
        <w:trPr>
          <w:trHeight w:hRule="atLeast" w:val="207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93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</w:t>
            </w:r>
            <w:r>
              <w:rPr>
                <w:sz w:val="16"/>
              </w:rPr>
              <w:t>ва бюджета Ставропольского края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5"/>
          <w:hidden w:val="0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z w:val="16"/>
              </w:rPr>
              <w:t xml:space="preserve"> бюджета города, в том числе предусмотренные: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</w:tr>
      <w:tr>
        <w:trPr>
          <w:trHeight w:hRule="atLeast" w:val="445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16"/>
              </w:rPr>
              <w:t>3 764,91</w:t>
            </w:r>
          </w:p>
        </w:tc>
      </w:tr>
      <w:tr>
        <w:trPr>
          <w:trHeight w:hRule="atLeast" w:val="19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редства внебюджетных источников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92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z w:val="16"/>
              </w:rPr>
              <w:t>Профилактика терроризма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правонарушений и наркомании в городе Невинномысске</w:t>
            </w:r>
            <w:r>
              <w:rPr>
                <w:sz w:val="16"/>
              </w:rPr>
              <w:t>»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9 381,01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437,01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437,01</w:t>
            </w:r>
          </w:p>
        </w:tc>
      </w:tr>
      <w:tr>
        <w:trPr>
          <w:trHeight w:hRule="atLeast" w:val="19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9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hRule="atLeast" w:val="19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hRule="atLeast" w:val="19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бюджета города, в том числе предусмотренные: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9 281,01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337,01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337,01</w:t>
            </w:r>
          </w:p>
        </w:tc>
      </w:tr>
      <w:tr>
        <w:trPr>
          <w:trHeight w:hRule="atLeast" w:val="19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484,26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40,26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40,26</w:t>
            </w:r>
          </w:p>
        </w:tc>
      </w:tr>
      <w:tr>
        <w:trPr>
          <w:trHeight w:hRule="atLeast" w:val="19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МКУ «Управление ЧС и ГО»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8 796,75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192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внебюджетных источников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87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 xml:space="preserve">1 подпрограммы 2: </w:t>
            </w:r>
            <w:r>
              <w:rPr>
                <w:sz w:val="16"/>
              </w:rPr>
              <w:t>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9 240,75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159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87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</w:t>
            </w:r>
            <w:r>
              <w:rPr>
                <w:sz w:val="16"/>
              </w:rPr>
              <w:t>ва бюджета Ставропольского края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z w:val="16"/>
              </w:rPr>
              <w:t xml:space="preserve"> бюджета города, в том числе предусмотренные: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9 240,75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159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444,00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59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МКУ «Управление ЧС и ГО»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8 796,75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159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внебюджетных источников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93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 xml:space="preserve">подпрограммы 2: </w:t>
            </w:r>
            <w:r>
              <w:rPr>
                <w:sz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105,26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rPr>
                <w:sz w:val="16"/>
              </w:rPr>
              <w:t>105,26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</w:pPr>
            <w:r>
              <w:rPr>
                <w:sz w:val="16"/>
              </w:rPr>
              <w:t>105,26</w:t>
            </w:r>
          </w:p>
        </w:tc>
      </w:tr>
      <w:tr>
        <w:trPr>
          <w:trHeight w:hRule="atLeast" w:val="21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1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</w:t>
            </w:r>
            <w:r>
              <w:rPr>
                <w:sz w:val="16"/>
              </w:rPr>
              <w:t>ва бюджета Ставропольского края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hRule="atLeast" w:val="21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hRule="atLeast" w:val="21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z w:val="16"/>
              </w:rPr>
              <w:t xml:space="preserve"> бюджета города, в том числе предусмотренные: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>
        <w:trPr>
          <w:trHeight w:hRule="atLeast" w:val="361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>
        <w:trPr>
          <w:trHeight w:hRule="atLeast" w:val="21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редства внебюджетных источников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16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>3 подпрограммы 2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 xml:space="preserve"> о</w:t>
            </w:r>
            <w:r>
              <w:rPr>
                <w:sz w:val="16"/>
              </w:rPr>
              <w:t>беспечение деятельности народных дружин города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>
        <w:trPr>
          <w:trHeight w:hRule="atLeast" w:val="21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1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</w:t>
            </w:r>
            <w:r>
              <w:rPr>
                <w:sz w:val="16"/>
              </w:rPr>
              <w:t>ва бюджета Ставропольского края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z w:val="16"/>
              </w:rPr>
              <w:t xml:space="preserve"> бюджета города, в том числе предусмотренные: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>
        <w:trPr>
          <w:trHeight w:hRule="atLeast" w:val="21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>
        <w:trPr>
          <w:trHeight w:hRule="atLeast" w:val="208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редства внебюджетных источников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8"/>
        </w:trPr>
        <w:tc>
          <w:tcPr>
            <w:tcW w:type="dxa" w:w="4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type="dxa" w:w="3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widowControl w:val="0"/>
              <w:ind w:right="80"/>
              <w:jc w:val="both"/>
              <w:rPr>
                <w:sz w:val="16"/>
              </w:rPr>
            </w:pPr>
            <w:r>
              <w:rPr>
                <w:sz w:val="16"/>
              </w:rPr>
              <w:t>Основное мероприятие 4 подпрограммы 2: проведение мероприятий, направленных на профилактику правонарушений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в том числе мошенничества, наркомании, алкоголизма, табакокурения, рецидивной преступности</w:t>
            </w:r>
            <w:r>
              <w:rPr>
                <w:sz w:val="16"/>
              </w:rPr>
              <w:t xml:space="preserve"> на территории города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36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09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</w:t>
            </w:r>
            <w:r>
              <w:rPr>
                <w:sz w:val="16"/>
              </w:rPr>
              <w:t>ва бюджета Ставропольского края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28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z w:val="16"/>
              </w:rPr>
              <w:t xml:space="preserve"> бюджета города, в том числе предусмотренные: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09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отделу общественной безопасности администрации города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49"/>
        </w:trPr>
        <w:tc>
          <w:tcPr>
            <w:tcW w:type="dxa" w:w="4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right="-86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редства внебюджетных источников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1D010000">
      <w:pPr>
        <w:ind w:firstLine="720" w:left="0"/>
        <w:jc w:val="both"/>
        <w:rPr>
          <w:sz w:val="28"/>
        </w:rPr>
      </w:pPr>
    </w:p>
    <w:p w14:paraId="1E010000">
      <w:pPr>
        <w:ind w:firstLine="720" w:left="0"/>
        <w:jc w:val="both"/>
        <w:rPr>
          <w:sz w:val="28"/>
        </w:rPr>
      </w:pPr>
    </w:p>
    <w:p w14:paraId="1F010000">
      <w:pPr>
        <w:ind w:firstLine="720" w:left="0"/>
        <w:jc w:val="both"/>
        <w:rPr>
          <w:sz w:val="28"/>
        </w:rPr>
      </w:pPr>
    </w:p>
    <w:p w14:paraId="20010000">
      <w:pPr>
        <w:pStyle w:val="Style_3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4_ch"/>
          <w:b w:val="1"/>
          <w:color w:val="000000"/>
          <w:sz w:val="28"/>
        </w:rPr>
      </w:pPr>
      <w:r>
        <w:rPr>
          <w:rStyle w:val="Style_4_ch"/>
          <w:b w:val="0"/>
          <w:color w:val="000000"/>
          <w:sz w:val="28"/>
        </w:rPr>
        <w:t>Н</w:t>
      </w:r>
      <w:r>
        <w:rPr>
          <w:rStyle w:val="Style_4_ch"/>
          <w:b w:val="0"/>
          <w:color w:val="000000"/>
          <w:sz w:val="28"/>
        </w:rPr>
        <w:t>ачальник</w:t>
      </w:r>
      <w:r>
        <w:rPr>
          <w:rStyle w:val="Style_4_ch"/>
          <w:b w:val="0"/>
          <w:color w:val="000000"/>
          <w:sz w:val="28"/>
        </w:rPr>
        <w:t xml:space="preserve"> отдела</w:t>
      </w:r>
    </w:p>
    <w:p w14:paraId="21010000">
      <w:pPr>
        <w:pStyle w:val="Style_3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4_ch"/>
          <w:b w:val="1"/>
          <w:color w:val="000000"/>
          <w:sz w:val="28"/>
        </w:rPr>
      </w:pPr>
      <w:r>
        <w:rPr>
          <w:rStyle w:val="Style_4_ch"/>
          <w:b w:val="0"/>
          <w:color w:val="000000"/>
          <w:sz w:val="28"/>
        </w:rPr>
        <w:t>общественной безопасности</w:t>
      </w:r>
    </w:p>
    <w:p w14:paraId="22010000">
      <w:pPr>
        <w:spacing w:line="240" w:lineRule="exact"/>
        <w:ind/>
        <w:jc w:val="both"/>
        <w:rPr>
          <w:sz w:val="28"/>
        </w:rPr>
      </w:pPr>
      <w:r>
        <w:rPr>
          <w:rStyle w:val="Style_4_ch"/>
          <w:color w:val="000000"/>
          <w:sz w:val="28"/>
        </w:rPr>
        <w:t xml:space="preserve">администрации города Невинномысска         </w:t>
      </w:r>
      <w:r>
        <w:rPr>
          <w:rStyle w:val="Style_4_ch"/>
          <w:color w:val="000000"/>
          <w:sz w:val="28"/>
        </w:rPr>
        <w:t xml:space="preserve">            </w:t>
      </w:r>
      <w:r>
        <w:rPr>
          <w:rStyle w:val="Style_4_ch"/>
          <w:color w:val="000000"/>
          <w:sz w:val="28"/>
        </w:rPr>
        <w:t xml:space="preserve">       </w:t>
      </w:r>
      <w:r>
        <w:rPr>
          <w:rStyle w:val="Style_4_ch"/>
          <w:color w:val="000000"/>
          <w:sz w:val="28"/>
        </w:rPr>
        <w:t xml:space="preserve">        </w:t>
      </w:r>
      <w:r>
        <w:rPr>
          <w:rStyle w:val="Style_4_ch"/>
          <w:color w:val="000000"/>
          <w:sz w:val="28"/>
        </w:rPr>
        <w:t xml:space="preserve">  </w:t>
      </w:r>
      <w:r>
        <w:rPr>
          <w:rStyle w:val="Style_4_ch"/>
          <w:color w:val="000000"/>
          <w:sz w:val="28"/>
        </w:rPr>
        <w:t>А.Ю. Шеховцов</w:t>
      </w:r>
    </w:p>
    <w:p w14:paraId="23010000">
      <w:pPr>
        <w:spacing w:line="240" w:lineRule="exact"/>
        <w:ind/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нак Знак Знак1 Знак"/>
    <w:basedOn w:val="Style_5"/>
    <w:link w:val="Style_7_ch"/>
    <w:pPr>
      <w:spacing w:afterAutospacing="on" w:beforeAutospacing="on"/>
      <w:ind/>
    </w:pPr>
    <w:rPr>
      <w:rFonts w:ascii="Tahoma" w:hAnsi="Tahoma"/>
      <w:sz w:val="20"/>
    </w:rPr>
  </w:style>
  <w:style w:styleId="Style_7_ch" w:type="character">
    <w:name w:val="Знак Знак Знак1 Знак"/>
    <w:basedOn w:val="Style_5_ch"/>
    <w:link w:val="Style_7"/>
    <w:rPr>
      <w:rFonts w:ascii="Tahoma" w:hAnsi="Tahoma"/>
      <w:sz w:val="20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List Paragraph"/>
    <w:basedOn w:val="Style_5"/>
    <w:link w:val="Style_10_ch"/>
    <w:pPr>
      <w:ind w:firstLine="0" w:left="720"/>
      <w:contextualSpacing w:val="1"/>
    </w:pPr>
  </w:style>
  <w:style w:styleId="Style_10_ch" w:type="character">
    <w:name w:val="List Paragraph"/>
    <w:basedOn w:val="Style_5_ch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Body Text"/>
    <w:basedOn w:val="Style_5"/>
    <w:link w:val="Style_13_ch"/>
    <w:pPr>
      <w:ind/>
      <w:jc w:val="both"/>
    </w:pPr>
    <w:rPr>
      <w:sz w:val="28"/>
    </w:rPr>
  </w:style>
  <w:style w:styleId="Style_13_ch" w:type="character">
    <w:name w:val="Body Text"/>
    <w:basedOn w:val="Style_5_ch"/>
    <w:link w:val="Style_13"/>
    <w:rPr>
      <w:sz w:val="28"/>
    </w:rPr>
  </w:style>
  <w:style w:styleId="Style_14" w:type="paragraph">
    <w:name w:val="Body Text Indent"/>
    <w:basedOn w:val="Style_5"/>
    <w:link w:val="Style_14_ch"/>
    <w:pPr>
      <w:spacing w:after="120"/>
      <w:ind w:firstLine="0" w:left="283"/>
    </w:pPr>
  </w:style>
  <w:style w:styleId="Style_14_ch" w:type="character">
    <w:name w:val="Body Text Indent"/>
    <w:basedOn w:val="Style_5_ch"/>
    <w:link w:val="Style_14"/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page number"/>
    <w:link w:val="Style_16_ch"/>
  </w:style>
  <w:style w:styleId="Style_16_ch" w:type="character">
    <w:name w:val="page number"/>
    <w:link w:val="Style_16"/>
  </w:style>
  <w:style w:styleId="Style_17" w:type="paragraph">
    <w:name w:val="No Spacing"/>
    <w:link w:val="Style_17_ch"/>
    <w:rPr>
      <w:sz w:val="22"/>
    </w:rPr>
  </w:style>
  <w:style w:styleId="Style_17_ch" w:type="character">
    <w:name w:val="No Spacing"/>
    <w:link w:val="Style_17"/>
    <w:rPr>
      <w:sz w:val="22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0_ch" w:type="character">
    <w:name w:val="heading 1"/>
    <w:basedOn w:val="Style_5_ch"/>
    <w:link w:val="Style_20"/>
    <w:rPr>
      <w:rFonts w:ascii="Cambria" w:hAnsi="Cambria"/>
      <w:b w:val="1"/>
      <w:sz w:val="32"/>
    </w:rPr>
  </w:style>
  <w:style w:styleId="Style_21" w:type="paragraph">
    <w:name w:val="foot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5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alloon Text"/>
    <w:basedOn w:val="Style_5"/>
    <w:link w:val="Style_30_ch"/>
    <w:rPr>
      <w:rFonts w:ascii="Tahoma" w:hAnsi="Tahoma"/>
      <w:sz w:val="16"/>
    </w:rPr>
  </w:style>
  <w:style w:styleId="Style_30_ch" w:type="character">
    <w:name w:val="Balloon Text"/>
    <w:basedOn w:val="Style_5_ch"/>
    <w:link w:val="Style_30"/>
    <w:rPr>
      <w:rFonts w:ascii="Tahoma" w:hAnsi="Tahoma"/>
      <w:sz w:val="16"/>
    </w:rPr>
  </w:style>
  <w:style w:styleId="Style_31" w:type="paragraph">
    <w:name w:val="ConsPlusNormal"/>
    <w:link w:val="Style_31_ch"/>
    <w:pPr>
      <w:widowControl w:val="0"/>
      <w:ind/>
    </w:pPr>
    <w:rPr>
      <w:sz w:val="22"/>
    </w:rPr>
  </w:style>
  <w:style w:styleId="Style_31_ch" w:type="character">
    <w:name w:val="ConsPlusNormal"/>
    <w:link w:val="Style_31"/>
    <w:rPr>
      <w:sz w:val="22"/>
    </w:rPr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5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Без интервала1"/>
    <w:link w:val="Style_35_ch"/>
    <w:rPr>
      <w:sz w:val="22"/>
    </w:rPr>
  </w:style>
  <w:style w:styleId="Style_35_ch" w:type="character">
    <w:name w:val="Без интервала1"/>
    <w:link w:val="Style_35"/>
    <w:rPr>
      <w:sz w:val="22"/>
    </w:rPr>
  </w:style>
  <w:style w:styleId="Style_4" w:type="paragraph">
    <w:name w:val="Основной текст1"/>
    <w:link w:val="Style_4_ch"/>
    <w:rPr>
      <w:rFonts w:ascii="Times New Roman" w:hAnsi="Times New Roman"/>
      <w:spacing w:val="0"/>
      <w:sz w:val="27"/>
      <w:u w:val="none"/>
    </w:rPr>
  </w:style>
  <w:style w:styleId="Style_4_ch" w:type="character">
    <w:name w:val="Основной текст1"/>
    <w:link w:val="Style_4"/>
    <w:rPr>
      <w:rFonts w:ascii="Times New Roman" w:hAnsi="Times New Roman"/>
      <w:spacing w:val="0"/>
      <w:sz w:val="27"/>
      <w:u w:val="none"/>
    </w:rPr>
  </w:style>
  <w:style w:styleId="Style_36" w:type="paragraph">
    <w:name w:val="heading 2"/>
    <w:next w:val="Style_5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" w:type="paragraph">
    <w:name w:val="ConsPlusTitle"/>
    <w:link w:val="Style_3_ch"/>
    <w:pPr>
      <w:widowControl w:val="0"/>
      <w:ind/>
    </w:pPr>
    <w:rPr>
      <w:b w:val="1"/>
      <w:sz w:val="22"/>
    </w:rPr>
  </w:style>
  <w:style w:styleId="Style_3_ch" w:type="character">
    <w:name w:val="ConsPlusTitle"/>
    <w:link w:val="Style_3"/>
    <w:rPr>
      <w:b w:val="1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2023-05-16T14:15:38Z</dcterms:modified>
</cp:coreProperties>
</file>