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502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</w:t>
      </w:r>
    </w:p>
    <w:p w14:paraId="04000000">
      <w:pPr>
        <w:tabs>
          <w:tab w:leader="none" w:pos="6300" w:val="left"/>
        </w:tabs>
        <w:ind w:firstLine="0" w:left="450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 xml:space="preserve">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Невинномысске»</w:t>
      </w:r>
    </w:p>
    <w:p w14:paraId="05000000">
      <w:pPr>
        <w:ind w:firstLine="0" w:left="4820"/>
        <w:jc w:val="center"/>
        <w:outlineLvl w:val="0"/>
        <w:rPr>
          <w:sz w:val="28"/>
        </w:rPr>
      </w:pPr>
    </w:p>
    <w:p w14:paraId="06000000">
      <w:pPr>
        <w:ind w:firstLine="0" w:left="4820"/>
        <w:jc w:val="center"/>
        <w:outlineLvl w:val="0"/>
        <w:rPr>
          <w:sz w:val="28"/>
        </w:rPr>
      </w:pPr>
    </w:p>
    <w:p w14:paraId="07000000">
      <w:pPr>
        <w:ind w:firstLine="0" w:left="4820"/>
        <w:jc w:val="center"/>
        <w:outlineLvl w:val="0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09000000">
      <w:pPr>
        <w:tabs>
          <w:tab w:leader="none" w:pos="6300" w:val="left"/>
        </w:tabs>
        <w:ind/>
        <w:jc w:val="center"/>
        <w:rPr>
          <w:sz w:val="28"/>
        </w:rPr>
      </w:pPr>
      <w:r>
        <w:rPr>
          <w:sz w:val="28"/>
        </w:rPr>
        <w:t xml:space="preserve">ведомственных целевых программ, </w:t>
      </w:r>
      <w:r>
        <w:rPr>
          <w:sz w:val="28"/>
        </w:rPr>
        <w:t xml:space="preserve">основных мероприятий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программы 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 наркомании в городе Невинномысске»</w:t>
      </w:r>
    </w:p>
    <w:p w14:paraId="0A000000">
      <w:pPr>
        <w:tabs>
          <w:tab w:leader="none" w:pos="6300" w:val="left"/>
        </w:tabs>
        <w:ind/>
        <w:jc w:val="center"/>
        <w:rPr>
          <w:sz w:val="28"/>
        </w:rPr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07"/>
        <w:gridCol w:w="2166"/>
        <w:gridCol w:w="1727"/>
        <w:gridCol w:w="1255"/>
        <w:gridCol w:w="1115"/>
        <w:gridCol w:w="1003"/>
        <w:gridCol w:w="1319"/>
      </w:tblGrid>
      <w:tr>
        <w:trPr>
          <w:trHeight w:hRule="atLeast" w:val="20"/>
        </w:trPr>
        <w:tc>
          <w:tcPr>
            <w:tcW w:type="dxa" w:w="7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3"/>
              <w:ind w:hanging="142"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type="dxa" w:w="21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ind w:hanging="142" w:left="142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подпрограмм,</w:t>
            </w:r>
          </w:p>
          <w:p w14:paraId="0D000000">
            <w:pPr>
              <w:pStyle w:val="Style_3"/>
              <w:ind w:hanging="142"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основных мероприятий, ведомственных целевых программ</w:t>
            </w:r>
          </w:p>
        </w:tc>
        <w:tc>
          <w:tcPr>
            <w:tcW w:type="dxa" w:w="1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3"/>
              <w:ind w:hanging="142"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Тип основного меро</w:t>
            </w:r>
            <w:r>
              <w:rPr>
                <w:rFonts w:ascii="Times New Roman" w:hAnsi="Times New Roman"/>
                <w:sz w:val="16"/>
              </w:rPr>
              <w:t>приятия</w:t>
            </w:r>
          </w:p>
        </w:tc>
        <w:tc>
          <w:tcPr>
            <w:tcW w:type="dxa" w:w="12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ind w:hanging="142" w:left="142"/>
              <w:jc w:val="center"/>
              <w:rPr>
                <w:sz w:val="16"/>
              </w:rPr>
            </w:pPr>
            <w:r>
              <w:rPr>
                <w:sz w:val="16"/>
              </w:rPr>
              <w:t>Ответственный исполнитель</w:t>
            </w:r>
          </w:p>
          <w:p w14:paraId="10000000">
            <w:pPr>
              <w:pStyle w:val="Style_3"/>
              <w:ind w:hanging="142"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основного мероприятия, заказчик ВЦП</w:t>
            </w:r>
          </w:p>
        </w:tc>
        <w:tc>
          <w:tcPr>
            <w:tcW w:type="dxa" w:w="2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3"/>
              <w:ind w:hanging="167" w:left="142"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Срок</w:t>
            </w:r>
          </w:p>
        </w:tc>
        <w:tc>
          <w:tcPr>
            <w:tcW w:type="dxa" w:w="13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3"/>
              <w:ind w:hanging="167" w:left="142"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>
        <w:trPr>
          <w:trHeight w:hRule="atLeast" w:val="20"/>
        </w:trPr>
        <w:tc>
          <w:tcPr>
            <w:tcW w:type="dxa" w:w="7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1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3"/>
              <w:ind w:hanging="142"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начала реализации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3"/>
              <w:ind w:hanging="167" w:left="142" w:right="-3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окончания реализации</w:t>
            </w:r>
          </w:p>
        </w:tc>
        <w:tc>
          <w:tcPr>
            <w:tcW w:type="dxa" w:w="13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</w:tbl>
    <w:p w14:paraId="15000000">
      <w:pPr>
        <w:rPr>
          <w:sz w:val="2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1"/>
        <w:gridCol w:w="2133"/>
        <w:gridCol w:w="10"/>
        <w:gridCol w:w="54"/>
        <w:gridCol w:w="1661"/>
        <w:gridCol w:w="1246"/>
        <w:gridCol w:w="1107"/>
        <w:gridCol w:w="969"/>
        <w:gridCol w:w="29"/>
        <w:gridCol w:w="1312"/>
        <w:gridCol w:w="14"/>
      </w:tblGrid>
      <w:tr>
        <w:trPr>
          <w:tblHeader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72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 w:right="-8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3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8535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Цель 1 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униципальная программа «Межнациональные отношения, поддержка казачества, профилактика экстремизма, терроризма, правонарушений и наркомании в городе Невинномысске» (далее – программа)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стабилизация и гармонизация межнациональных и межконфессиональных отношений в городе</w:t>
            </w:r>
            <w:r>
              <w:rPr>
                <w:sz w:val="16"/>
              </w:rPr>
              <w:t xml:space="preserve"> Невинномысске (далее – город)</w:t>
            </w:r>
            <w:r>
              <w:rPr>
                <w:sz w:val="16"/>
              </w:rPr>
              <w:t>, укрепление общероссийской гражданской идентичности населения города</w:t>
            </w:r>
          </w:p>
        </w:tc>
      </w:tr>
      <w:tr>
        <w:trPr>
          <w:trHeight w:hRule="atLeast" w:val="1641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1.1.</w:t>
            </w:r>
          </w:p>
        </w:tc>
        <w:tc>
          <w:tcPr>
            <w:tcW w:type="dxa" w:w="21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Межнациональные отношения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 xml:space="preserve">поддержка казачества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профилактик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экстремизма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ind w:firstLine="0" w:left="-59" w:right="-6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администрация города в лице отдела общественной безопасности администрации города</w:t>
            </w:r>
            <w:r>
              <w:rPr>
                <w:rFonts w:ascii="Times New Roman" w:hAnsi="Times New Roman"/>
                <w:sz w:val="16"/>
              </w:rPr>
              <w:t xml:space="preserve"> (далее – отдел общественной безопасности)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3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п.п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2.1, 2.2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1.1.1.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Задача 1 подпрограммы 1</w:t>
            </w:r>
            <w:r>
              <w:rPr>
                <w:sz w:val="16"/>
              </w:rPr>
              <w:t xml:space="preserve">: </w:t>
            </w:r>
            <w:r>
              <w:rPr>
                <w:sz w:val="16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/>
        </w:tc>
      </w:tr>
      <w:tr>
        <w:trPr>
          <w:trHeight w:hRule="atLeast" w:val="2774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1.1.1.1.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</w:rPr>
              <w:t xml:space="preserve"> подпрограммы 2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 xml:space="preserve">рганизационное и научно - методическое обеспечение </w:t>
            </w:r>
            <w:r>
              <w:rPr>
                <w:rFonts w:ascii="Times New Roman" w:hAnsi="Times New Roman"/>
                <w:sz w:val="16"/>
              </w:rPr>
              <w:t>мероприятий по</w:t>
            </w:r>
            <w:r>
              <w:rPr>
                <w:rFonts w:ascii="Times New Roman" w:hAnsi="Times New Roman"/>
                <w:sz w:val="16"/>
              </w:rPr>
              <w:t xml:space="preserve"> межнациональным отношениям и </w:t>
            </w:r>
            <w:r>
              <w:rPr>
                <w:rFonts w:ascii="Times New Roman" w:hAnsi="Times New Roman"/>
                <w:sz w:val="16"/>
              </w:rPr>
              <w:t>профилактик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экстремизма</w:t>
            </w:r>
            <w:r>
              <w:rPr>
                <w:rFonts w:ascii="Times New Roman" w:hAnsi="Times New Roman"/>
                <w:sz w:val="16"/>
              </w:rPr>
              <w:t xml:space="preserve"> в городе </w:t>
            </w:r>
            <w:r>
              <w:rPr>
                <w:rFonts w:ascii="Times New Roman" w:hAnsi="Times New Roman"/>
                <w:sz w:val="16"/>
              </w:rPr>
              <w:t>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выполнения функций органами местного самоуправления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органами администрации города, главными распорядителями средств бюджета города, каз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нными учреждениями, подведомственными главным распорядителям средств бюджета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октябрь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декабрь</w:t>
            </w:r>
          </w:p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</w:t>
            </w:r>
            <w:r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 xml:space="preserve">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п.п. 3.1.1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программы</w:t>
            </w:r>
            <w:r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привлечение казачества к обеспечению общественного порядка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Межнациональные отношения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 xml:space="preserve">поддержка казачества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профилактик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  <w:t xml:space="preserve"> экстремизма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п.п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4.1</w:t>
            </w:r>
            <w:r>
              <w:rPr>
                <w:rFonts w:ascii="Times New Roman" w:hAnsi="Times New Roman"/>
                <w:sz w:val="16"/>
              </w:rPr>
              <w:t xml:space="preserve">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/>
        </w:tc>
      </w:tr>
      <w:tr>
        <w:trPr>
          <w:trHeight w:hRule="atLeast" w:val="567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3"/>
              <w:ind w:firstLine="0" w:left="-53" w:right="-38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</w:t>
            </w:r>
            <w:r>
              <w:rPr>
                <w:rFonts w:ascii="Times New Roman" w:hAnsi="Times New Roman"/>
                <w:sz w:val="16"/>
              </w:rPr>
              <w:t>го порядка на территории города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/>
        </w:tc>
      </w:tr>
      <w:tr>
        <w:trPr>
          <w:trHeight w:hRule="atLeast" w:val="469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2.1.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4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предоставление субсидии </w:t>
            </w:r>
            <w:r>
              <w:rPr>
                <w:rFonts w:ascii="Times New Roman" w:hAnsi="Times New Roman"/>
                <w:sz w:val="16"/>
              </w:rPr>
              <w:t>Невинномысскому городскому казачьему обществу Ставропольского окружного казачьего общества Терского войскового казачьего общества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январь</w:t>
            </w:r>
          </w:p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декабрь</w:t>
            </w:r>
          </w:p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</w:t>
            </w:r>
            <w:r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 xml:space="preserve">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п.п. </w:t>
            </w:r>
            <w:r>
              <w:rPr>
                <w:rFonts w:ascii="Times New Roman" w:hAnsi="Times New Roman"/>
                <w:sz w:val="16"/>
              </w:rPr>
              <w:t>5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>. приложения</w:t>
            </w:r>
            <w:r>
              <w:rPr>
                <w:rFonts w:ascii="Times New Roman" w:hAnsi="Times New Roman"/>
                <w:sz w:val="16"/>
              </w:rPr>
              <w:t xml:space="preserve">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/>
        </w:tc>
      </w:tr>
      <w:tr>
        <w:trPr>
          <w:trHeight w:hRule="atLeast" w:val="308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программы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</w:rPr>
              <w:t>недопущение террористических проявлений на территории города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Профилактика терроризма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правонарушений 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наркомании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п.п. </w:t>
            </w:r>
            <w:r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 xml:space="preserve">.1, </w:t>
            </w:r>
            <w:r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.2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/>
        </w:tc>
      </w:tr>
      <w:tr>
        <w:trPr>
          <w:trHeight w:hRule="atLeast" w:val="488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3.1.1.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Задача 1 подпрограммы 2: </w:t>
            </w:r>
            <w:r>
              <w:rPr>
                <w:sz w:val="16"/>
              </w:rPr>
              <w:t>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3.1.1.1.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16"/>
                <w:highlight w:val="yellow"/>
              </w:rPr>
            </w:pPr>
            <w:r>
              <w:rPr>
                <w:sz w:val="16"/>
              </w:rPr>
              <w:t>Основное мероприятие 1 подпрограммы 2: приобретение средств инженерно-технической защищенности мест массового пребывания людей на территории города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 w:firstLine="0" w:left="-44" w:right="-61"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 w:firstLine="0" w:left="-36" w:right="-15"/>
              <w:jc w:val="center"/>
              <w:rPr>
                <w:sz w:val="16"/>
              </w:rPr>
            </w:pPr>
            <w:r>
              <w:rPr>
                <w:sz w:val="16"/>
              </w:rPr>
              <w:t>отдел общественной безопасности, муниципальное казенное учреждение «Управление по чрезвычайным ситуациям и гражданской обороне города Невинномысска»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февраль</w:t>
            </w:r>
            <w:r>
              <w:rPr>
                <w:sz w:val="16"/>
              </w:rPr>
              <w:t xml:space="preserve"> </w:t>
            </w:r>
          </w:p>
          <w:p w14:paraId="5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  <w:p w14:paraId="6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HYPERLINK "consultantplus://offline/ref=5B95650062A972521DC10B9DA9068021ACE11BCDC94B26A77CD5B98C9C5EB5AC94AF2A1187BC6193FA6AAFEEOC3CH"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п.п. 7.1.1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/>
        </w:tc>
      </w:tr>
      <w:tr>
        <w:trPr>
          <w:trHeight w:hRule="atLeast" w:val="354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3.1.2.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2: </w:t>
            </w:r>
            <w:r>
              <w:rPr>
                <w:rFonts w:ascii="Times New Roman" w:hAnsi="Times New Roman"/>
                <w:sz w:val="16"/>
              </w:rPr>
              <w:t>информирован</w:t>
            </w:r>
            <w:r>
              <w:rPr>
                <w:rFonts w:ascii="Times New Roman" w:hAnsi="Times New Roman"/>
                <w:sz w:val="16"/>
              </w:rPr>
              <w:t>ие</w:t>
            </w:r>
            <w:r>
              <w:rPr>
                <w:rFonts w:ascii="Times New Roman" w:hAnsi="Times New Roman"/>
                <w:sz w:val="16"/>
              </w:rPr>
              <w:t xml:space="preserve"> граждан в сфере профилактики терроризма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/>
        </w:tc>
      </w:tr>
      <w:tr>
        <w:trPr>
          <w:trHeight w:hRule="atLeast" w:val="83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3.1.2.1.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2: </w:t>
            </w:r>
            <w:r>
              <w:rPr>
                <w:rFonts w:ascii="Times New Roman" w:hAnsi="Times New Roman"/>
                <w:sz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ind w:firstLine="0" w:left="-7" w:right="-33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выполнения функций органами местного самоуправления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органами администрации города, главными распорядителями средств бюджета города, каз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нными учреждениями, подведомственными главным распорядителям средств бюджета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2023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ноябрь</w:t>
            </w:r>
          </w:p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2025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п.п. </w:t>
            </w:r>
            <w:r>
              <w:rPr>
                <w:rFonts w:ascii="Times New Roman" w:hAnsi="Times New Roman"/>
                <w:sz w:val="16"/>
              </w:rPr>
              <w:t>7.2</w:t>
            </w:r>
            <w:r>
              <w:rPr>
                <w:rFonts w:ascii="Times New Roman" w:hAnsi="Times New Roman"/>
                <w:sz w:val="16"/>
              </w:rPr>
              <w:t>.1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/>
        </w:tc>
      </w:tr>
      <w:tr>
        <w:trPr>
          <w:trHeight w:hRule="atLeast" w:val="242"/>
        </w:trP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 xml:space="preserve"> программы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</w:rPr>
              <w:t>укрепление общественного порядка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</w:t>
            </w:r>
            <w:r>
              <w:rPr>
                <w:rFonts w:ascii="Times New Roman" w:hAnsi="Times New Roman"/>
                <w:sz w:val="16"/>
              </w:rPr>
              <w:t xml:space="preserve"> 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Профилактика терроризма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правонарушений 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наркомании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 городе Невинномысске</w:t>
            </w:r>
            <w:r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п.п. </w:t>
            </w:r>
            <w:r>
              <w:rPr>
                <w:rFonts w:ascii="Times New Roman" w:hAnsi="Times New Roman"/>
                <w:sz w:val="16"/>
              </w:rPr>
              <w:t>8</w:t>
            </w:r>
            <w:r>
              <w:rPr>
                <w:rFonts w:ascii="Times New Roman" w:hAnsi="Times New Roman"/>
                <w:sz w:val="16"/>
              </w:rPr>
              <w:t>.1 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4.1.1.</w:t>
            </w:r>
          </w:p>
        </w:tc>
        <w:tc>
          <w:tcPr>
            <w:tcW w:type="dxa" w:w="852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 w:firstLine="0" w:left="34" w:right="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Задача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подпрограммы </w:t>
            </w:r>
            <w:r>
              <w:rPr>
                <w:sz w:val="16"/>
              </w:rPr>
              <w:t xml:space="preserve">2: </w:t>
            </w:r>
            <w:r>
              <w:rPr>
                <w:sz w:val="16"/>
              </w:rPr>
              <w:t xml:space="preserve">развитие и совершенствование системы профилактики правонарушений, </w:t>
            </w:r>
            <w:r>
              <w:rPr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sz w:val="16"/>
              </w:rPr>
              <w:t xml:space="preserve"> на территории города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4.1.1.1.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ind w:right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подпрограммы 2:</w:t>
            </w:r>
            <w:r>
              <w:rPr>
                <w:rFonts w:ascii="Times New Roman" w:hAnsi="Times New Roman"/>
                <w:sz w:val="16"/>
              </w:rPr>
              <w:t xml:space="preserve"> о</w:t>
            </w:r>
            <w:r>
              <w:rPr>
                <w:rFonts w:ascii="Times New Roman" w:hAnsi="Times New Roman"/>
                <w:sz w:val="16"/>
              </w:rPr>
              <w:t>беспечение деятельности народных дружин города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нными учреждениями, подведомственными главным распорядителям средств бюджета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2023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март</w:t>
            </w:r>
          </w:p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2025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п.п. </w:t>
            </w: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z w:val="16"/>
              </w:rPr>
              <w:t>.1.1</w:t>
            </w:r>
          </w:p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/>
        </w:tc>
      </w:tr>
      <w:tr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4.1.1.2.</w:t>
            </w:r>
          </w:p>
        </w:tc>
        <w:tc>
          <w:tcPr>
            <w:tcW w:type="dxa" w:w="21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widowControl w:val="0"/>
              <w:ind w:right="80"/>
              <w:jc w:val="both"/>
              <w:rPr>
                <w:sz w:val="16"/>
              </w:rPr>
            </w:pPr>
            <w:r>
              <w:rPr>
                <w:sz w:val="16"/>
              </w:rPr>
              <w:t>Основное мероприятие 4 подпрограммы 2: проведение мероприятий, направленных на профилактику правонарушений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sz w:val="16"/>
              </w:rPr>
              <w:t xml:space="preserve"> на территории города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type="dxa" w:w="17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отдел общественной безопасности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  <w:p w14:paraId="8F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9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  <w:p w14:paraId="91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1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п.п. 9.1.2 </w:t>
            </w:r>
            <w:r>
              <w:rPr>
                <w:sz w:val="16"/>
              </w:rPr>
              <w:t>приложения 1 к программе</w:t>
            </w:r>
          </w:p>
        </w:tc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/>
        </w:tc>
      </w:tr>
    </w:tbl>
    <w:p w14:paraId="94000000">
      <w:pPr>
        <w:ind w:firstLine="0" w:left="4536"/>
        <w:jc w:val="center"/>
        <w:rPr>
          <w:sz w:val="28"/>
        </w:rPr>
      </w:pPr>
    </w:p>
    <w:p w14:paraId="95000000">
      <w:pPr>
        <w:ind w:firstLine="0" w:left="4536"/>
        <w:jc w:val="center"/>
        <w:rPr>
          <w:sz w:val="28"/>
        </w:rPr>
      </w:pPr>
    </w:p>
    <w:p w14:paraId="96000000">
      <w:pPr>
        <w:ind w:firstLine="0" w:left="4536"/>
        <w:jc w:val="center"/>
        <w:rPr>
          <w:sz w:val="28"/>
        </w:rPr>
      </w:pPr>
    </w:p>
    <w:p w14:paraId="97000000">
      <w:pPr>
        <w:pStyle w:val="Style_5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6_ch"/>
          <w:b w:val="1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Н</w:t>
      </w:r>
      <w:r>
        <w:rPr>
          <w:rStyle w:val="Style_6_ch"/>
          <w:b w:val="0"/>
          <w:color w:val="000000"/>
          <w:sz w:val="28"/>
        </w:rPr>
        <w:t>ачальник</w:t>
      </w:r>
      <w:r>
        <w:rPr>
          <w:rStyle w:val="Style_6_ch"/>
          <w:b w:val="0"/>
          <w:color w:val="000000"/>
          <w:sz w:val="28"/>
        </w:rPr>
        <w:t xml:space="preserve"> отдела</w:t>
      </w:r>
    </w:p>
    <w:p w14:paraId="98000000">
      <w:pPr>
        <w:pStyle w:val="Style_5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6_ch"/>
          <w:b w:val="1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общественной безопасности</w:t>
      </w:r>
    </w:p>
    <w:p w14:paraId="99000000">
      <w:pPr>
        <w:pStyle w:val="Style_5"/>
        <w:tabs>
          <w:tab w:leader="none" w:pos="993" w:val="left"/>
          <w:tab w:leader="none" w:pos="7938" w:val="left"/>
        </w:tabs>
        <w:spacing w:line="240" w:lineRule="exact"/>
        <w:ind/>
        <w:jc w:val="both"/>
        <w:rPr>
          <w:b w:val="0"/>
        </w:rPr>
      </w:pPr>
      <w:r>
        <w:rPr>
          <w:rStyle w:val="Style_6_ch"/>
          <w:b w:val="0"/>
          <w:color w:val="000000"/>
          <w:sz w:val="28"/>
        </w:rPr>
        <w:t xml:space="preserve">администрации города Невинномысска                                 </w:t>
      </w:r>
      <w:r>
        <w:rPr>
          <w:rStyle w:val="Style_6_ch"/>
          <w:b w:val="0"/>
          <w:color w:val="000000"/>
          <w:sz w:val="28"/>
        </w:rPr>
        <w:t xml:space="preserve">   </w:t>
      </w:r>
      <w:r>
        <w:rPr>
          <w:rStyle w:val="Style_6_ch"/>
          <w:b w:val="0"/>
          <w:color w:val="000000"/>
          <w:sz w:val="28"/>
        </w:rPr>
        <w:t xml:space="preserve">  А.Ю. Шеховцов</w:t>
      </w:r>
    </w:p>
    <w:sectPr>
      <w:headerReference r:id="rId1" w:type="default"/>
      <w:pgSz w:h="16838" w:orient="portrait" w:w="11906"/>
      <w:pgMar w:bottom="993" w:footer="709" w:gutter="0" w:header="709" w:left="1985" w:right="56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rFonts w:ascii="Times New Roman" w:hAnsi="Times New Roman"/>
      <w:sz w:val="24"/>
    </w:rPr>
  </w:style>
  <w:style w:default="1" w:styleId="Style_7_ch" w:type="character">
    <w:name w:val="Normal"/>
    <w:link w:val="Style_7"/>
    <w:rPr>
      <w:rFonts w:ascii="Times New Roman" w:hAnsi="Times New Roman"/>
      <w:sz w:val="24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8" w:type="paragraph">
    <w:name w:val="footer"/>
    <w:basedOn w:val="Style_7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"/>
    <w:basedOn w:val="Style_7"/>
    <w:link w:val="Style_14_ch"/>
    <w:pPr>
      <w:spacing w:after="120"/>
      <w:ind w:firstLine="0" w:left="283"/>
    </w:pPr>
  </w:style>
  <w:style w:styleId="Style_14_ch" w:type="character">
    <w:name w:val="Body Text Indent"/>
    <w:basedOn w:val="Style_7_ch"/>
    <w:link w:val="Style_14"/>
  </w:style>
  <w:style w:styleId="Style_15" w:type="paragraph">
    <w:name w:val="List Paragraph"/>
    <w:basedOn w:val="Style_7"/>
    <w:link w:val="Style_15_ch"/>
    <w:pPr>
      <w:ind w:firstLine="0" w:left="720"/>
      <w:contextualSpacing w:val="1"/>
    </w:pPr>
  </w:style>
  <w:style w:styleId="Style_15_ch" w:type="character">
    <w:name w:val="List Paragraph"/>
    <w:basedOn w:val="Style_7_ch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b w:val="1"/>
      <w:sz w:val="22"/>
    </w:rPr>
  </w:style>
  <w:style w:styleId="Style_5_ch" w:type="character">
    <w:name w:val="ConsPlusTitle"/>
    <w:link w:val="Style_5"/>
    <w:rPr>
      <w:b w:val="1"/>
      <w:sz w:val="22"/>
    </w:rPr>
  </w:style>
  <w:style w:styleId="Style_4" w:type="paragraph">
    <w:name w:val="Без интервала1"/>
    <w:link w:val="Style_4_ch"/>
    <w:rPr>
      <w:sz w:val="22"/>
    </w:rPr>
  </w:style>
  <w:style w:styleId="Style_4_ch" w:type="character">
    <w:name w:val="Без интервала1"/>
    <w:link w:val="Style_4"/>
    <w:rPr>
      <w:sz w:val="22"/>
    </w:rPr>
  </w:style>
  <w:style w:styleId="Style_17" w:type="paragraph">
    <w:name w:val="Body Text"/>
    <w:basedOn w:val="Style_7"/>
    <w:link w:val="Style_17_ch"/>
    <w:pPr>
      <w:ind/>
      <w:jc w:val="both"/>
    </w:pPr>
    <w:rPr>
      <w:sz w:val="28"/>
    </w:rPr>
  </w:style>
  <w:style w:styleId="Style_17_ch" w:type="character">
    <w:name w:val="Body Text"/>
    <w:basedOn w:val="Style_7_ch"/>
    <w:link w:val="Style_17"/>
    <w:rPr>
      <w:sz w:val="28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6" w:type="paragraph">
    <w:name w:val="Основной текст1"/>
    <w:link w:val="Style_6_ch"/>
    <w:rPr>
      <w:rFonts w:ascii="Times New Roman" w:hAnsi="Times New Roman"/>
      <w:spacing w:val="0"/>
      <w:sz w:val="27"/>
      <w:u w:val="none"/>
    </w:rPr>
  </w:style>
  <w:style w:styleId="Style_6_ch" w:type="character">
    <w:name w:val="Основной текст1"/>
    <w:link w:val="Style_6"/>
    <w:rPr>
      <w:rFonts w:ascii="Times New Roman" w:hAnsi="Times New Roman"/>
      <w:spacing w:val="0"/>
      <w:sz w:val="27"/>
      <w:u w:val="none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0_ch" w:type="character">
    <w:name w:val="heading 1"/>
    <w:basedOn w:val="Style_7_ch"/>
    <w:link w:val="Style_20"/>
    <w:rPr>
      <w:rFonts w:ascii="Cambria" w:hAnsi="Cambria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Знак Знак Знак1 Знак"/>
    <w:basedOn w:val="Style_7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 Знак Знак1 Знак"/>
    <w:basedOn w:val="Style_7_ch"/>
    <w:link w:val="Style_26"/>
    <w:rPr>
      <w:rFonts w:ascii="Tahoma" w:hAnsi="Tahoma"/>
      <w:sz w:val="20"/>
    </w:rPr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page number"/>
    <w:link w:val="Style_30_ch"/>
  </w:style>
  <w:style w:styleId="Style_30_ch" w:type="character">
    <w:name w:val="page number"/>
    <w:link w:val="Style_30"/>
  </w:style>
  <w:style w:styleId="Style_31" w:type="paragraph">
    <w:name w:val="No Spacing"/>
    <w:link w:val="Style_31_ch"/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ConsPlusNonforma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Nonformat"/>
    <w:link w:val="Style_33"/>
    <w:rPr>
      <w:rFonts w:ascii="Courier New" w:hAnsi="Courier New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7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2023-05-16T08:15:50Z</dcterms:modified>
</cp:coreProperties>
</file>