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72A1B" w:rsidRPr="00272A1B">
        <w:tc>
          <w:tcPr>
            <w:tcW w:w="5103" w:type="dxa"/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21 июля 2011 года</w:t>
            </w:r>
          </w:p>
        </w:tc>
        <w:tc>
          <w:tcPr>
            <w:tcW w:w="5103" w:type="dxa"/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N 256-ФЗ</w:t>
            </w:r>
          </w:p>
        </w:tc>
      </w:tr>
    </w:tbl>
    <w:p w:rsidR="00272A1B" w:rsidRPr="00272A1B" w:rsidRDefault="00272A1B" w:rsidP="00272A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2A1B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2A1B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72A1B">
        <w:rPr>
          <w:rFonts w:ascii="Arial" w:hAnsi="Arial" w:cs="Arial"/>
          <w:b/>
          <w:bCs/>
          <w:sz w:val="20"/>
          <w:szCs w:val="20"/>
        </w:rPr>
        <w:t>О БЕЗОПАСНОСТИ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72A1B">
        <w:rPr>
          <w:rFonts w:ascii="Arial" w:hAnsi="Arial" w:cs="Arial"/>
          <w:sz w:val="20"/>
          <w:szCs w:val="20"/>
        </w:rPr>
        <w:t>Принят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Государственной Думой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6 июля 2011 года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Одобрен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Советом Федерации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13 июля 2011 года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272A1B">
        <w:rPr>
          <w:rFonts w:ascii="Arial" w:hAnsi="Arial" w:cs="Arial"/>
          <w:sz w:val="20"/>
          <w:szCs w:val="20"/>
        </w:rPr>
        <w:t xml:space="preserve">(в ред. Федеральных законов от 02.07.2013 </w:t>
      </w:r>
      <w:hyperlink r:id="rId4" w:history="1">
        <w:r w:rsidRPr="00272A1B">
          <w:rPr>
            <w:rFonts w:ascii="Arial" w:hAnsi="Arial" w:cs="Arial"/>
            <w:color w:val="0000FF"/>
            <w:sz w:val="20"/>
            <w:szCs w:val="20"/>
          </w:rPr>
          <w:t>N 163-ФЗ</w:t>
        </w:r>
      </w:hyperlink>
      <w:r w:rsidRPr="00272A1B">
        <w:rPr>
          <w:rFonts w:ascii="Arial" w:hAnsi="Arial" w:cs="Arial"/>
          <w:sz w:val="20"/>
          <w:szCs w:val="20"/>
        </w:rPr>
        <w:t>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от 20.04.2014 </w:t>
      </w:r>
      <w:hyperlink r:id="rId5" w:history="1">
        <w:r w:rsidRPr="00272A1B">
          <w:rPr>
            <w:rFonts w:ascii="Arial" w:hAnsi="Arial" w:cs="Arial"/>
            <w:color w:val="0000FF"/>
            <w:sz w:val="20"/>
            <w:szCs w:val="20"/>
          </w:rPr>
          <w:t>N 75-ФЗ</w:t>
        </w:r>
      </w:hyperlink>
      <w:r w:rsidRPr="00272A1B">
        <w:rPr>
          <w:rFonts w:ascii="Arial" w:hAnsi="Arial" w:cs="Arial"/>
          <w:sz w:val="20"/>
          <w:szCs w:val="20"/>
        </w:rPr>
        <w:t xml:space="preserve">, от 14.10.2014 </w:t>
      </w:r>
      <w:hyperlink r:id="rId6" w:history="1">
        <w:r w:rsidRPr="00272A1B">
          <w:rPr>
            <w:rFonts w:ascii="Arial" w:hAnsi="Arial" w:cs="Arial"/>
            <w:color w:val="0000FF"/>
            <w:sz w:val="20"/>
            <w:szCs w:val="20"/>
          </w:rPr>
          <w:t>N 307-ФЗ</w:t>
        </w:r>
      </w:hyperlink>
      <w:r w:rsidRPr="00272A1B">
        <w:rPr>
          <w:rFonts w:ascii="Arial" w:hAnsi="Arial" w:cs="Arial"/>
          <w:sz w:val="20"/>
          <w:szCs w:val="20"/>
        </w:rPr>
        <w:t>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от 09.03.2016 </w:t>
      </w:r>
      <w:hyperlink r:id="rId7" w:history="1">
        <w:r w:rsidRPr="00272A1B">
          <w:rPr>
            <w:rFonts w:ascii="Arial" w:hAnsi="Arial" w:cs="Arial"/>
            <w:color w:val="0000FF"/>
            <w:sz w:val="20"/>
            <w:szCs w:val="20"/>
          </w:rPr>
          <w:t>N 68-ФЗ</w:t>
        </w:r>
      </w:hyperlink>
      <w:r w:rsidRPr="00272A1B">
        <w:rPr>
          <w:rFonts w:ascii="Arial" w:hAnsi="Arial" w:cs="Arial"/>
          <w:sz w:val="20"/>
          <w:szCs w:val="20"/>
        </w:rPr>
        <w:t xml:space="preserve">, от 03.07.2016 </w:t>
      </w:r>
      <w:hyperlink r:id="rId8" w:history="1">
        <w:r w:rsidRPr="00272A1B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272A1B">
        <w:rPr>
          <w:rFonts w:ascii="Arial" w:hAnsi="Arial" w:cs="Arial"/>
          <w:sz w:val="20"/>
          <w:szCs w:val="20"/>
        </w:rPr>
        <w:t>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от 06.07.2016 </w:t>
      </w:r>
      <w:hyperlink r:id="rId9" w:history="1">
        <w:r w:rsidRPr="00272A1B">
          <w:rPr>
            <w:rFonts w:ascii="Arial" w:hAnsi="Arial" w:cs="Arial"/>
            <w:color w:val="0000FF"/>
            <w:sz w:val="20"/>
            <w:szCs w:val="20"/>
          </w:rPr>
          <w:t>N 374-ФЗ</w:t>
        </w:r>
      </w:hyperlink>
      <w:r w:rsidRPr="00272A1B">
        <w:rPr>
          <w:rFonts w:ascii="Arial" w:hAnsi="Arial" w:cs="Arial"/>
          <w:sz w:val="20"/>
          <w:szCs w:val="20"/>
        </w:rPr>
        <w:t>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1. Предмет регулирования настоящего Федерального закона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2A1B">
        <w:rPr>
          <w:rFonts w:ascii="Arial" w:hAnsi="Arial" w:cs="Arial"/>
          <w:sz w:val="20"/>
          <w:szCs w:val="20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72A1B">
        <w:rPr>
          <w:rFonts w:ascii="Arial" w:hAnsi="Arial" w:cs="Arial"/>
          <w:sz w:val="20"/>
          <w:szCs w:val="20"/>
        </w:rPr>
        <w:t>ином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законном праве объектами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2. Основные понятия, используемые в настоящем Федеральном законе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</w:t>
      </w:r>
      <w:proofErr w:type="gramStart"/>
      <w:r w:rsidRPr="00272A1B">
        <w:rPr>
          <w:rFonts w:ascii="Arial" w:hAnsi="Arial" w:cs="Arial"/>
          <w:sz w:val="20"/>
          <w:szCs w:val="20"/>
        </w:rPr>
        <w:t>вмешательства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</w:t>
      </w:r>
      <w:r w:rsidRPr="00272A1B">
        <w:rPr>
          <w:rFonts w:ascii="Arial" w:hAnsi="Arial" w:cs="Arial"/>
          <w:sz w:val="20"/>
          <w:szCs w:val="20"/>
        </w:rPr>
        <w:lastRenderedPageBreak/>
        <w:t>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2A1B">
        <w:rPr>
          <w:rFonts w:ascii="Arial" w:hAnsi="Arial" w:cs="Arial"/>
          <w:sz w:val="20"/>
          <w:szCs w:val="20"/>
        </w:rP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2A1B">
        <w:rPr>
          <w:rFonts w:ascii="Arial" w:hAnsi="Arial" w:cs="Arial"/>
          <w:sz w:val="20"/>
          <w:szCs w:val="20"/>
        </w:rPr>
        <w:t xml:space="preserve"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</w:t>
      </w:r>
      <w:proofErr w:type="spellStart"/>
      <w:r w:rsidRPr="00272A1B">
        <w:rPr>
          <w:rFonts w:ascii="Arial" w:hAnsi="Arial" w:cs="Arial"/>
          <w:sz w:val="20"/>
          <w:szCs w:val="20"/>
        </w:rPr>
        <w:t>взрыво</w:t>
      </w:r>
      <w:proofErr w:type="spellEnd"/>
      <w:r w:rsidRPr="00272A1B">
        <w:rPr>
          <w:rFonts w:ascii="Arial" w:hAnsi="Arial" w:cs="Arial"/>
          <w:sz w:val="20"/>
          <w:szCs w:val="20"/>
        </w:rPr>
        <w:t>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чрезвычайных ситуаций с опасными социально-экономическими последствиями;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3. Цели и задачи обеспечения безопасности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2. Основными задачами обеспечения безопасности объектов топливно-энергетического комплекса являются: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2) определение угроз совершения актов незаконного вмешательства и предупреждение таких угроз;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3) категорирование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4) разработка и реализация требований обеспечения безопасности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5) разработка и реализация мер по созданию системы физической защиты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6) подготовка специалистов в сфере обеспечения безопасности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(в ред. Федеральных законов от 14.10.2014 </w:t>
      </w:r>
      <w:hyperlink r:id="rId10" w:history="1">
        <w:r w:rsidRPr="00272A1B">
          <w:rPr>
            <w:rFonts w:ascii="Arial" w:hAnsi="Arial" w:cs="Arial"/>
            <w:color w:val="0000FF"/>
            <w:sz w:val="20"/>
            <w:szCs w:val="20"/>
          </w:rPr>
          <w:t>N 307-ФЗ</w:t>
        </w:r>
      </w:hyperlink>
      <w:r w:rsidRPr="00272A1B">
        <w:rPr>
          <w:rFonts w:ascii="Arial" w:hAnsi="Arial" w:cs="Arial"/>
          <w:sz w:val="20"/>
          <w:szCs w:val="20"/>
        </w:rPr>
        <w:t xml:space="preserve">, от 03.07.2016 </w:t>
      </w:r>
      <w:hyperlink r:id="rId11" w:history="1">
        <w:r w:rsidRPr="00272A1B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272A1B">
        <w:rPr>
          <w:rFonts w:ascii="Arial" w:hAnsi="Arial" w:cs="Arial"/>
          <w:sz w:val="20"/>
          <w:szCs w:val="20"/>
        </w:rPr>
        <w:t>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4. Принципы обеспечения безопасности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Основными принципами обеспечения безопасности объектов топливно-энергетического комплекса являются: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1) законность;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2) соблюдение баланса интересов личности, общества и государства;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lastRenderedPageBreak/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4) непрерывность;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5) интеграция в международные системы безопасности;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7) обеспечение антитеррористической защищенности объектов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5. Категорирование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1. Для установления дифференцированных требований обеспечения безопасности объектов топливно-энергетического комплекса с учетом </w:t>
      </w:r>
      <w:proofErr w:type="gramStart"/>
      <w:r w:rsidRPr="00272A1B">
        <w:rPr>
          <w:rFonts w:ascii="Arial" w:hAnsi="Arial" w:cs="Arial"/>
          <w:sz w:val="20"/>
          <w:szCs w:val="20"/>
        </w:rPr>
        <w:t>степени потенциальной опасности совершения акта незаконного вмешательства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и его возможных последствий проводится категорирование объектов. При проведении категорирования учитываются: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3) наличие критических элементов объекта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4) наличие потенциально опасных участков объекта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5) наличие на объекте уязвимых мест.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1) объекты высокой категории опасности;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2) объекты средней категории опасности;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3) объекты низкой категории опасности.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3. Исходные данные для проведения категорирования объекта, </w:t>
      </w:r>
      <w:hyperlink r:id="rId12" w:history="1">
        <w:r w:rsidRPr="00272A1B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272A1B">
        <w:rPr>
          <w:rFonts w:ascii="Arial" w:hAnsi="Arial" w:cs="Arial"/>
          <w:sz w:val="20"/>
          <w:szCs w:val="20"/>
        </w:rPr>
        <w:t xml:space="preserve"> его проведения и критерии категорирования устанавливаются Правительством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2"/>
      <w:bookmarkEnd w:id="0"/>
      <w:r w:rsidRPr="00272A1B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72A1B">
        <w:rPr>
          <w:rFonts w:ascii="Arial" w:hAnsi="Arial" w:cs="Arial"/>
          <w:sz w:val="20"/>
          <w:szCs w:val="20"/>
        </w:rPr>
        <w:t>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3" w:history="1">
        <w:r w:rsidRPr="00272A1B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272A1B">
        <w:rPr>
          <w:rFonts w:ascii="Arial" w:hAnsi="Arial" w:cs="Arial"/>
          <w:sz w:val="20"/>
          <w:szCs w:val="20"/>
        </w:rP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6. Обеспечение безопасности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72A1B">
        <w:rPr>
          <w:rFonts w:ascii="Arial" w:hAnsi="Arial" w:cs="Arial"/>
          <w:sz w:val="20"/>
          <w:szCs w:val="20"/>
        </w:rPr>
        <w:t>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правовыми актами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4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72A1B">
        <w:rPr>
          <w:rFonts w:ascii="Arial" w:hAnsi="Arial" w:cs="Arial"/>
          <w:sz w:val="20"/>
          <w:szCs w:val="20"/>
        </w:rPr>
        <w:t xml:space="preserve"> от 03.07.2016 N 227-ФЗ)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lastRenderedPageBreak/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5" w:history="1">
        <w:r w:rsidRPr="00272A1B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272A1B">
        <w:rPr>
          <w:rFonts w:ascii="Arial" w:hAnsi="Arial" w:cs="Arial"/>
          <w:sz w:val="20"/>
          <w:szCs w:val="20"/>
        </w:rP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(</w:t>
      </w:r>
      <w:proofErr w:type="gramStart"/>
      <w:r w:rsidRPr="00272A1B">
        <w:rPr>
          <w:rFonts w:ascii="Arial" w:hAnsi="Arial" w:cs="Arial"/>
          <w:sz w:val="20"/>
          <w:szCs w:val="20"/>
        </w:rPr>
        <w:t>в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ред. Федеральных законов от 09.03.2016 </w:t>
      </w:r>
      <w:hyperlink r:id="rId16" w:history="1">
        <w:r w:rsidRPr="00272A1B">
          <w:rPr>
            <w:rFonts w:ascii="Arial" w:hAnsi="Arial" w:cs="Arial"/>
            <w:color w:val="0000FF"/>
            <w:sz w:val="20"/>
            <w:szCs w:val="20"/>
          </w:rPr>
          <w:t>N 68-ФЗ</w:t>
        </w:r>
      </w:hyperlink>
      <w:r w:rsidRPr="00272A1B">
        <w:rPr>
          <w:rFonts w:ascii="Arial" w:hAnsi="Arial" w:cs="Arial"/>
          <w:sz w:val="20"/>
          <w:szCs w:val="20"/>
        </w:rPr>
        <w:t xml:space="preserve">, от 03.07.2016 </w:t>
      </w:r>
      <w:hyperlink r:id="rId17" w:history="1">
        <w:r w:rsidRPr="00272A1B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272A1B">
        <w:rPr>
          <w:rFonts w:ascii="Arial" w:hAnsi="Arial" w:cs="Arial"/>
          <w:sz w:val="20"/>
          <w:szCs w:val="20"/>
        </w:rPr>
        <w:t>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Par94"/>
      <w:bookmarkEnd w:id="1"/>
      <w:r w:rsidRPr="00272A1B">
        <w:rPr>
          <w:rFonts w:ascii="Arial" w:hAnsi="Arial" w:cs="Arial"/>
          <w:sz w:val="20"/>
          <w:szCs w:val="20"/>
        </w:rP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72A1B">
        <w:rPr>
          <w:rFonts w:ascii="Arial" w:hAnsi="Arial" w:cs="Arial"/>
          <w:sz w:val="20"/>
          <w:szCs w:val="20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8. Паспорт безопасности объекта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72A1B">
        <w:rPr>
          <w:rFonts w:ascii="Arial" w:hAnsi="Arial" w:cs="Arial"/>
          <w:sz w:val="20"/>
          <w:szCs w:val="20"/>
        </w:rPr>
        <w:t xml:space="preserve">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ar94" w:history="1">
        <w:r w:rsidRPr="00272A1B"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 w:rsidRPr="00272A1B"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72A1B">
        <w:rPr>
          <w:rFonts w:ascii="Arial" w:hAnsi="Arial" w:cs="Arial"/>
          <w:sz w:val="20"/>
          <w:szCs w:val="20"/>
        </w:rPr>
        <w:t xml:space="preserve">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ar94" w:history="1">
        <w:r w:rsidRPr="00272A1B"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 w:rsidRPr="00272A1B">
        <w:rPr>
          <w:rFonts w:ascii="Arial" w:hAnsi="Arial" w:cs="Arial"/>
          <w:sz w:val="20"/>
          <w:szCs w:val="20"/>
        </w:rP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ar82" w:history="1">
        <w:r w:rsidRPr="00272A1B">
          <w:rPr>
            <w:rFonts w:ascii="Arial" w:hAnsi="Arial" w:cs="Arial"/>
            <w:color w:val="0000FF"/>
            <w:sz w:val="20"/>
            <w:szCs w:val="20"/>
          </w:rPr>
          <w:t>частью 4 статьи 5</w:t>
        </w:r>
      </w:hyperlink>
      <w:r w:rsidRPr="00272A1B"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7. Паспорта безопасности объектов топливно-энергетического комплекса подлежат актуализации в </w:t>
      </w:r>
      <w:hyperlink r:id="rId18" w:history="1">
        <w:r w:rsidRPr="00272A1B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272A1B">
        <w:rPr>
          <w:rFonts w:ascii="Arial" w:hAnsi="Arial" w:cs="Arial"/>
          <w:sz w:val="20"/>
          <w:szCs w:val="20"/>
        </w:rPr>
        <w:t xml:space="preserve"> и сроки, которые установлены Правительством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9. Система физической защиты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</w:t>
      </w:r>
      <w:r w:rsidRPr="00272A1B">
        <w:rPr>
          <w:rFonts w:ascii="Arial" w:hAnsi="Arial" w:cs="Arial"/>
          <w:sz w:val="20"/>
          <w:szCs w:val="20"/>
        </w:rPr>
        <w:lastRenderedPageBreak/>
        <w:t>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2. Обеспечение физической защиты объектов топливно-энергетического комплекса осуществляется на основе единой системы планирования и реализации </w:t>
      </w:r>
      <w:proofErr w:type="gramStart"/>
      <w:r w:rsidRPr="00272A1B">
        <w:rPr>
          <w:rFonts w:ascii="Arial" w:hAnsi="Arial" w:cs="Arial"/>
          <w:sz w:val="20"/>
          <w:szCs w:val="20"/>
        </w:rPr>
        <w:t>комплекса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технических и организационных мер, направленных на: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1) предотвращение несанкционированного проникновения на охраняемые объекты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2) своевременное обнаружение и пресечение любых посягательств на </w:t>
      </w:r>
      <w:proofErr w:type="gramStart"/>
      <w:r w:rsidRPr="00272A1B">
        <w:rPr>
          <w:rFonts w:ascii="Arial" w:hAnsi="Arial" w:cs="Arial"/>
          <w:sz w:val="20"/>
          <w:szCs w:val="20"/>
        </w:rPr>
        <w:t>целостность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и безопасность охраняемых объектов топливно-энергетического комплекса, в том числе актов незаконного вмешательства.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7"/>
      <w:bookmarkEnd w:id="2"/>
      <w:r w:rsidRPr="00272A1B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72A1B">
        <w:rPr>
          <w:rFonts w:ascii="Arial" w:hAnsi="Arial" w:cs="Arial"/>
          <w:sz w:val="20"/>
          <w:szCs w:val="20"/>
        </w:rPr>
        <w:t>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(</w:t>
      </w:r>
      <w:proofErr w:type="gramStart"/>
      <w:r w:rsidRPr="00272A1B">
        <w:rPr>
          <w:rFonts w:ascii="Arial" w:hAnsi="Arial" w:cs="Arial"/>
          <w:sz w:val="20"/>
          <w:szCs w:val="20"/>
        </w:rPr>
        <w:t>в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ред. Федерального </w:t>
      </w:r>
      <w:hyperlink r:id="rId19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72A1B">
        <w:rPr>
          <w:rFonts w:ascii="Arial" w:hAnsi="Arial" w:cs="Arial"/>
          <w:sz w:val="20"/>
          <w:szCs w:val="20"/>
        </w:rPr>
        <w:t xml:space="preserve"> от 03.07.2016 N 227-ФЗ)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(</w:t>
      </w:r>
      <w:proofErr w:type="gramStart"/>
      <w:r w:rsidRPr="00272A1B">
        <w:rPr>
          <w:rFonts w:ascii="Arial" w:hAnsi="Arial" w:cs="Arial"/>
          <w:sz w:val="20"/>
          <w:szCs w:val="20"/>
        </w:rPr>
        <w:t>ч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асть 5 введена Федеральным </w:t>
      </w:r>
      <w:hyperlink r:id="rId20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272A1B">
        <w:rPr>
          <w:rFonts w:ascii="Arial" w:hAnsi="Arial" w:cs="Arial"/>
          <w:sz w:val="20"/>
          <w:szCs w:val="20"/>
        </w:rPr>
        <w:t xml:space="preserve"> от 06.07.2016 N 374-ФЗ)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9.1. Ведомственная охрана организаций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(</w:t>
      </w:r>
      <w:proofErr w:type="gramStart"/>
      <w:r w:rsidRPr="00272A1B">
        <w:rPr>
          <w:rFonts w:ascii="Arial" w:hAnsi="Arial" w:cs="Arial"/>
          <w:sz w:val="20"/>
          <w:szCs w:val="20"/>
        </w:rPr>
        <w:t>введена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Федеральным </w:t>
      </w:r>
      <w:hyperlink r:id="rId21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272A1B">
        <w:rPr>
          <w:rFonts w:ascii="Arial" w:hAnsi="Arial" w:cs="Arial"/>
          <w:sz w:val="20"/>
          <w:szCs w:val="20"/>
        </w:rPr>
        <w:t xml:space="preserve"> от 20.04.2014 N 75-ФЗ)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3" w:name="Par127"/>
      <w:bookmarkEnd w:id="3"/>
      <w:r w:rsidRPr="00272A1B">
        <w:rPr>
          <w:rFonts w:ascii="Arial" w:hAnsi="Arial" w:cs="Arial"/>
          <w:sz w:val="20"/>
          <w:szCs w:val="20"/>
        </w:rPr>
        <w:t>Статья 10. Требования к персоналу, обеспечивающему безопасность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2A1B">
        <w:rPr>
          <w:rFonts w:ascii="Arial" w:hAnsi="Arial" w:cs="Arial"/>
          <w:sz w:val="20"/>
          <w:szCs w:val="20"/>
        </w:rPr>
        <w:t>1) имеющие неснятую или непогашенную судимость за совершение умышленного преступления;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2A1B">
        <w:rPr>
          <w:rFonts w:ascii="Arial" w:hAnsi="Arial" w:cs="Arial"/>
          <w:sz w:val="20"/>
          <w:szCs w:val="20"/>
        </w:rP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увольнения прошло менее трех лет.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2. </w:t>
      </w:r>
      <w:hyperlink r:id="rId22" w:history="1">
        <w:proofErr w:type="gramStart"/>
        <w:r w:rsidRPr="00272A1B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272A1B">
        <w:rPr>
          <w:rFonts w:ascii="Arial" w:hAnsi="Arial" w:cs="Arial"/>
          <w:sz w:val="20"/>
          <w:szCs w:val="20"/>
        </w:rP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вневедомственной охраны.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3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72A1B">
        <w:rPr>
          <w:rFonts w:ascii="Arial" w:hAnsi="Arial" w:cs="Arial"/>
          <w:sz w:val="20"/>
          <w:szCs w:val="20"/>
        </w:rPr>
        <w:t xml:space="preserve"> от 03.07.2016 N 227-ФЗ)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11. Обеспечение безопасности информационных систем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8"/>
      <w:bookmarkEnd w:id="4"/>
      <w:r w:rsidRPr="00272A1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72A1B">
        <w:rPr>
          <w:rFonts w:ascii="Arial" w:hAnsi="Arial" w:cs="Arial"/>
          <w:sz w:val="20"/>
          <w:szCs w:val="20"/>
        </w:rPr>
        <w:t>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Создание таких систем предусматривает планирование и реализацию комплекса технических и организационных мер, </w:t>
      </w:r>
      <w:proofErr w:type="gramStart"/>
      <w:r w:rsidRPr="00272A1B">
        <w:rPr>
          <w:rFonts w:ascii="Arial" w:hAnsi="Arial" w:cs="Arial"/>
          <w:sz w:val="20"/>
          <w:szCs w:val="20"/>
        </w:rPr>
        <w:t>обеспечивающих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в том числе антитеррористическую защищенность объектов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2. Информация о системах, указанных в </w:t>
      </w:r>
      <w:hyperlink w:anchor="Par138" w:history="1">
        <w:r w:rsidRPr="00272A1B"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 w:rsidRPr="00272A1B">
        <w:rPr>
          <w:rFonts w:ascii="Arial" w:hAnsi="Arial" w:cs="Arial"/>
          <w:sz w:val="20"/>
          <w:szCs w:val="20"/>
        </w:rP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5" w:name="Par141"/>
      <w:bookmarkEnd w:id="5"/>
      <w:r w:rsidRPr="00272A1B">
        <w:rPr>
          <w:rFonts w:ascii="Arial" w:hAnsi="Arial" w:cs="Arial"/>
          <w:sz w:val="20"/>
          <w:szCs w:val="20"/>
        </w:rP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1. Субъекты топливно-энергетического комплекса имеют право: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4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72A1B">
        <w:rPr>
          <w:rFonts w:ascii="Arial" w:hAnsi="Arial" w:cs="Arial"/>
          <w:sz w:val="20"/>
          <w:szCs w:val="20"/>
        </w:rPr>
        <w:t xml:space="preserve"> от 14.10.2014 N 307-ФЗ)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2A1B">
        <w:rPr>
          <w:rFonts w:ascii="Arial" w:hAnsi="Arial" w:cs="Arial"/>
          <w:sz w:val="20"/>
          <w:szCs w:val="20"/>
        </w:rP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5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72A1B">
        <w:rPr>
          <w:rFonts w:ascii="Arial" w:hAnsi="Arial" w:cs="Arial"/>
          <w:sz w:val="20"/>
          <w:szCs w:val="20"/>
        </w:rPr>
        <w:t xml:space="preserve"> от 03.07.2016 N 227-ФЗ)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ar117" w:history="1">
        <w:r w:rsidRPr="00272A1B">
          <w:rPr>
            <w:rFonts w:ascii="Arial" w:hAnsi="Arial" w:cs="Arial"/>
            <w:color w:val="0000FF"/>
            <w:sz w:val="20"/>
            <w:szCs w:val="20"/>
          </w:rPr>
          <w:t>части 4 статьи 9</w:t>
        </w:r>
      </w:hyperlink>
      <w:r w:rsidRPr="00272A1B">
        <w:rPr>
          <w:rFonts w:ascii="Arial" w:hAnsi="Arial" w:cs="Arial"/>
          <w:sz w:val="20"/>
          <w:szCs w:val="20"/>
        </w:rP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2. Субъекты топливно-энергетического комплекса обязаны: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1) незамедлительно информировать в </w:t>
      </w:r>
      <w:hyperlink r:id="rId26" w:history="1">
        <w:r w:rsidRPr="00272A1B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272A1B">
        <w:rPr>
          <w:rFonts w:ascii="Arial" w:hAnsi="Arial" w:cs="Arial"/>
          <w:sz w:val="20"/>
          <w:szCs w:val="20"/>
        </w:rP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7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72A1B">
        <w:rPr>
          <w:rFonts w:ascii="Arial" w:hAnsi="Arial" w:cs="Arial"/>
          <w:sz w:val="20"/>
          <w:szCs w:val="20"/>
        </w:rPr>
        <w:t xml:space="preserve"> от 02.07.2013 N 163-ФЗ)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2) выполнять предписания, постановления должностных лиц уполномоченных федеральных органов исполнительной власти об устранении </w:t>
      </w:r>
      <w:proofErr w:type="gramStart"/>
      <w:r w:rsidRPr="00272A1B">
        <w:rPr>
          <w:rFonts w:ascii="Arial" w:hAnsi="Arial" w:cs="Arial"/>
          <w:sz w:val="20"/>
          <w:szCs w:val="20"/>
        </w:rPr>
        <w:t>нарушений требований обеспечения безопасности объектов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8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72A1B">
        <w:rPr>
          <w:rFonts w:ascii="Arial" w:hAnsi="Arial" w:cs="Arial"/>
          <w:sz w:val="20"/>
          <w:szCs w:val="20"/>
        </w:rPr>
        <w:t xml:space="preserve"> от 14.10.2014 N 307-ФЗ)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72A1B">
        <w:rPr>
          <w:rFonts w:ascii="Arial" w:hAnsi="Arial" w:cs="Arial"/>
          <w:sz w:val="20"/>
          <w:szCs w:val="20"/>
        </w:rP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6" w:name="Par172"/>
      <w:bookmarkEnd w:id="6"/>
      <w:r w:rsidRPr="00272A1B">
        <w:rPr>
          <w:rFonts w:ascii="Arial" w:hAnsi="Arial" w:cs="Arial"/>
          <w:sz w:val="20"/>
          <w:szCs w:val="20"/>
        </w:rPr>
        <w:t>Статья 16. Финансирование мероприятий по обеспечению безопасности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72A1B">
        <w:rPr>
          <w:rFonts w:ascii="Arial" w:hAnsi="Arial" w:cs="Arial"/>
          <w:sz w:val="20"/>
          <w:szCs w:val="20"/>
        </w:rPr>
        <w:t>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72A1B">
        <w:rPr>
          <w:rFonts w:ascii="Arial" w:hAnsi="Arial" w:cs="Arial"/>
          <w:sz w:val="20"/>
          <w:szCs w:val="20"/>
        </w:rPr>
        <w:t>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(</w:t>
      </w:r>
      <w:proofErr w:type="gramStart"/>
      <w:r w:rsidRPr="00272A1B">
        <w:rPr>
          <w:rFonts w:ascii="Arial" w:hAnsi="Arial" w:cs="Arial"/>
          <w:sz w:val="20"/>
          <w:szCs w:val="20"/>
        </w:rPr>
        <w:t>в</w:t>
      </w:r>
      <w:proofErr w:type="gramEnd"/>
      <w:r w:rsidRPr="00272A1B">
        <w:rPr>
          <w:rFonts w:ascii="Arial" w:hAnsi="Arial" w:cs="Arial"/>
          <w:sz w:val="20"/>
          <w:szCs w:val="20"/>
        </w:rPr>
        <w:t xml:space="preserve"> ред. Федерального </w:t>
      </w:r>
      <w:hyperlink r:id="rId29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72A1B">
        <w:rPr>
          <w:rFonts w:ascii="Arial" w:hAnsi="Arial" w:cs="Arial"/>
          <w:sz w:val="20"/>
          <w:szCs w:val="20"/>
        </w:rPr>
        <w:t xml:space="preserve"> от 02.07.2013 N 163-ФЗ)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Статья 18. Порядок вступления в силу настоящего Федерального закона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lastRenderedPageBreak/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2. </w:t>
      </w:r>
      <w:hyperlink w:anchor="Par94" w:history="1">
        <w:r w:rsidRPr="00272A1B">
          <w:rPr>
            <w:rFonts w:ascii="Arial" w:hAnsi="Arial" w:cs="Arial"/>
            <w:color w:val="0000FF"/>
            <w:sz w:val="20"/>
            <w:szCs w:val="20"/>
          </w:rPr>
          <w:t>Статьи 7</w:t>
        </w:r>
      </w:hyperlink>
      <w:r w:rsidRPr="00272A1B">
        <w:rPr>
          <w:rFonts w:ascii="Arial" w:hAnsi="Arial" w:cs="Arial"/>
          <w:sz w:val="20"/>
          <w:szCs w:val="20"/>
        </w:rPr>
        <w:t xml:space="preserve">, </w:t>
      </w:r>
      <w:hyperlink w:anchor="Par127" w:history="1">
        <w:r w:rsidRPr="00272A1B"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 w:rsidRPr="00272A1B">
        <w:rPr>
          <w:rFonts w:ascii="Arial" w:hAnsi="Arial" w:cs="Arial"/>
          <w:sz w:val="20"/>
          <w:szCs w:val="20"/>
        </w:rPr>
        <w:t xml:space="preserve">, </w:t>
      </w:r>
      <w:hyperlink w:anchor="Par141" w:history="1">
        <w:r w:rsidRPr="00272A1B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272A1B">
        <w:rPr>
          <w:rFonts w:ascii="Arial" w:hAnsi="Arial" w:cs="Arial"/>
          <w:sz w:val="20"/>
          <w:szCs w:val="20"/>
        </w:rPr>
        <w:t xml:space="preserve"> и </w:t>
      </w:r>
      <w:hyperlink w:anchor="Par172" w:history="1">
        <w:r w:rsidRPr="00272A1B"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 w:rsidRPr="00272A1B">
        <w:rPr>
          <w:rFonts w:ascii="Arial" w:hAnsi="Arial" w:cs="Arial"/>
          <w:sz w:val="20"/>
          <w:szCs w:val="20"/>
        </w:rPr>
        <w:t xml:space="preserve"> настоящего Федерального закона вступают в силу с 1 января 2012 года.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Президент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Российской Федерации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Д.МЕДВЕДЕВ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Москва, Кремль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21 июля 2011 года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N 256-ФЗ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Приложение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к Федеральному закону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"О безопасности объектов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топливно-энергетического комплекса"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A1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0" w:history="1">
        <w:r w:rsidRPr="00272A1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72A1B">
        <w:rPr>
          <w:rFonts w:ascii="Arial" w:hAnsi="Arial" w:cs="Arial"/>
          <w:sz w:val="20"/>
          <w:szCs w:val="20"/>
        </w:rPr>
        <w:t xml:space="preserve"> от 03.07.2016 N 227-ФЗ)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Срок действия                                    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паспорта:                                           (Гриф по заполнении)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до "__" _____________ 20__ г.                                Экз. N 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      СОГЛАСОВАНО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Председатель антитеррористической комиссии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       (Ф.И.О.)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       УТВЕРЖДАЮ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Руководитель 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(наименование организации,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              Ф.И.О.)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"__" ___________________ 20__ г.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ПАСПОРТ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безопасности объекта топливно-энергетического комплекса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(наименование объекта)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г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>. 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20__ г.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(основание оформления паспорта: решение региональной антитеррористической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комиссии, приказ руководителя организации)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(полные наименования объекта, организации, полный почтовый адрес, телефон)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(отрасль предприятия, основной вид деятельности объекта)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(наименование вышестоящей организации по принадлежности, телефон)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lastRenderedPageBreak/>
        <w:t xml:space="preserve">       (Ф.И.О. руководителя объекта, служебный, мобильный телефоны)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(Ф.И.О. заместителя руководителя по режиму и безопасности, служебный,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мобильный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 xml:space="preserve"> телефоны)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(Ф.И.О. руководителя подразделения охраны, служебный, мобильный телефоны)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1. Общие сведения об объекте, организации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1. Основная территория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(зоны, территории, административно-производственные здания и сооружения,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конструктивные и технологические элементы объекта)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(общая площадь, кв. м)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(периметр, м)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2. Объекты вне основной территории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(зоны, территории, административно-производственные здания и сооружения,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конструктивные и технологические элементы объекта)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(общая площадь, кв. м)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(периметр, м)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3. Сведения о персонале объекта (организации)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(общая численность работающих на объекте, в том числе на его элементах,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человек)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4. Режим работы объекта (организации)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(сезонный, вахтовый, одно-, двух-, трехсменный, максимальная численность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работающих на объекте человек в одной смене в дневное и ночное время,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в том числе на его элементах)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5. Первоначальная балансовая стоимость основных производственных фондов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(суммарное значение всех материальных активов (основных средств)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объекта (организации), тыс. руб.)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6. Износ основных производственных фондов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(среднее значение морального и физического износа основного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производственного оборудования, зданий и сооружений, процент)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7.  Наличие  на объекте подразделения по  защите  государственной тайны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и соблюдение требований режима секретности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(вид подразделения, выделенные режимные зоны, меры по ограничению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доступа и защите)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8. Характеристика местности и природно-климатические условия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(среднее значение рельефа окружающей местности, среднегодовые и сезонные: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направление и скорость ветра, среднесуточная температура, относительная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влажность, количество атмосферных осадков по сезонам,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максимальные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сезонные значения силы ветра и температуры)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9. Наличие  вокруг  объекта  других  производств,  населенных  пунктов,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жилых  зданий  и иных объектов массового  скопления  людей,  их  размещение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по отношению к объекту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72A1B" w:rsidRPr="00272A1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"/>
        <w:gridCol w:w="2723"/>
        <w:gridCol w:w="3141"/>
        <w:gridCol w:w="2344"/>
        <w:gridCol w:w="2244"/>
      </w:tblGrid>
      <w:tr w:rsidR="00272A1B" w:rsidRPr="00272A1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Характеристика (количество людей)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Сторона расположения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Расстояние до объекта, </w:t>
            </w: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272A1B" w:rsidRPr="00272A1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2A1B" w:rsidRPr="00272A1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10. Размещение объекта по отношению к транспортным коммуникациям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4730"/>
        <w:gridCol w:w="2249"/>
        <w:gridCol w:w="3588"/>
      </w:tblGrid>
      <w:tr w:rsidR="00272A1B" w:rsidRPr="00272A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Вид транспорта и транспортных коммуникаций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Расстояние до транспортных коммуникаций, </w:t>
            </w: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272A1B" w:rsidRPr="00272A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Автомобильный</w:t>
            </w:r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 xml:space="preserve"> (шоссе, дороги, автовокзалы, автостанции и прочее)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Железнодорожный</w:t>
            </w:r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 xml:space="preserve"> (железнодорожные пути, вокзалы, станции, платформы, переезды и прочее)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Воздушный</w:t>
            </w:r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 xml:space="preserve">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Водный</w:t>
            </w:r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 xml:space="preserve"> (морские и речные порты, причалы)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11. Сведения об опасных веществах и материалах, используемых на объекте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Пожар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о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>-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 xml:space="preserve"> и взрывоопасные вещества и материалы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075"/>
        <w:gridCol w:w="5045"/>
        <w:gridCol w:w="1759"/>
      </w:tblGrid>
      <w:tr w:rsidR="00272A1B" w:rsidRPr="00272A1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Количество, </w:t>
            </w: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элемента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272A1B" w:rsidRPr="00272A1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2A1B" w:rsidRPr="00272A1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Химически и биологически опасные вещества и материалы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075"/>
        <w:gridCol w:w="5045"/>
        <w:gridCol w:w="1759"/>
      </w:tblGrid>
      <w:tr w:rsidR="00272A1B" w:rsidRPr="00272A1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Количество, </w:t>
            </w: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элемента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272A1B" w:rsidRPr="00272A1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2A1B" w:rsidRPr="00272A1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Токсичные, наркотические, психотропные вещества,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сильнодействующие яды и препараты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075"/>
        <w:gridCol w:w="5045"/>
        <w:gridCol w:w="1759"/>
      </w:tblGrid>
      <w:tr w:rsidR="00272A1B" w:rsidRPr="00272A1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Количество, </w:t>
            </w: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элемента объекта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</w:tr>
      <w:tr w:rsidR="00272A1B" w:rsidRPr="00272A1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2A1B" w:rsidRPr="00272A1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2. Анализ уязвимости производственно-технологического процесса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и выявление критических элементов объекта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1. Перечень потенциально опасных участков объекта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434"/>
        <w:gridCol w:w="2014"/>
        <w:gridCol w:w="1819"/>
        <w:gridCol w:w="2314"/>
        <w:gridCol w:w="2149"/>
      </w:tblGrid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производственно-технологического процесса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потенциально опасного участка объекта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Количество работающих, человек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Конструктивные и технологические элементы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Характер возможной аварийной (чрезвычайной) ситуации</w:t>
            </w: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2. Модели нарушителей 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3. Перечень критических элементов объекта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082"/>
        <w:gridCol w:w="1421"/>
        <w:gridCol w:w="1745"/>
        <w:gridCol w:w="2785"/>
        <w:gridCol w:w="2567"/>
      </w:tblGrid>
      <w:tr w:rsidR="00272A1B" w:rsidRPr="00272A1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Базовые угрозы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Тип нарушителя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Оценка времени террористического акта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Влияние на обстановку на иных критических элементах объекта</w:t>
            </w:r>
          </w:p>
        </w:tc>
      </w:tr>
      <w:tr w:rsidR="00272A1B" w:rsidRPr="00272A1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2A1B" w:rsidRPr="00272A1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3. Оценка социально-экономических последствий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террористического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акта на объекте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1. Людские потери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272A1B" w:rsidRPr="00272A1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критического элемента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Количество человек, </w:t>
            </w: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условия</w:t>
            </w:r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 xml:space="preserve"> жизнедеятельности которых нарушены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Масштаб последствий террористического акта</w:t>
            </w:r>
          </w:p>
        </w:tc>
      </w:tr>
      <w:tr w:rsidR="00272A1B" w:rsidRPr="00272A1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персонал организации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персонал охраны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жители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2. Экономический ущерб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2134"/>
        <w:gridCol w:w="2134"/>
        <w:gridCol w:w="2134"/>
        <w:gridCol w:w="2584"/>
      </w:tblGrid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критического элемента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Собственный экономический ущерб, тыс. руб.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Сторонний экономический ущерб, тыс. руб.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Общий экономический ущерб, тыс. руб.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Масштаб последствий террористического акта</w:t>
            </w: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4. Присвоение объекту категории по степени потенциальной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опасности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6"/>
        <w:gridCol w:w="4538"/>
      </w:tblGrid>
      <w:tr w:rsidR="00272A1B" w:rsidRPr="00272A1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272A1B" w:rsidRPr="00272A1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Максимальное количество пострадавших, человек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Величина максимального ущерба, тыс. руб.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Категория объекта по гражданской обороне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Категория объекта по режиму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Категория объекта по химической опасности и (или) 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пожар</w:t>
            </w:r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272A1B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 xml:space="preserve"> и взрывоопасности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Категория объекта по степени потенциальной опасности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5. Организация охраны и защиты объекта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1. Основания установления охраны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(номер распоряжения об установлении охраны, Ф.И.О., должность его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подписавших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>, наличие акта региональной комиссии, дата его утверждения)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2. Структура подразделения охраны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(положение о подразделении охраны, вид подразделения: команда, группа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с указанием их подчиненности и другие; принадлежность охраны: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ведомственная, вневедомственная, смешанная (ведомственная,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вневедомственная), частные охранные организации, служба безопасности)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3.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Штат  подразделения   охраны   (перечисляются   должности   по  штатному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расписанию)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8"/>
        <w:gridCol w:w="7613"/>
        <w:gridCol w:w="2513"/>
      </w:tblGrid>
      <w:tr w:rsidR="00272A1B" w:rsidRPr="00272A1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Количество единиц</w:t>
            </w:r>
          </w:p>
        </w:tc>
      </w:tr>
      <w:tr w:rsidR="00272A1B" w:rsidRPr="00272A1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2A1B" w:rsidRPr="00272A1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4. Наличие организационно-распорядительных документов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(план и схема охраны, инструкция по организации и несению караульной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службы, должностные инструкции, план проверки технического состояния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и работоспособности инженерно-технических средств охраны и прочее)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5. Организация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пропускного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внутриобъектового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 xml:space="preserve"> режимов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 xml:space="preserve">(наличие инструкций, кем установлены пропускной и 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внутриобъектовый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 xml:space="preserve"> режимы,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дата введения, порядок хранения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постоянных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>, разовых, временных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и материальных пропусков, образцы подписей должностных лиц, наличие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помещений для бюро пропусков, хранения личных вещей, комнат досмотра)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6. Количество действующих контрольно-пропускных пунктов: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Всего 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Проходных 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Автотранспортных 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Железнодорожных 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Совмещенных 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7. Состав суточного наряда охраны отдельно по его принадлежности и виду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2"/>
        <w:gridCol w:w="2885"/>
        <w:gridCol w:w="2457"/>
      </w:tblGrid>
      <w:tr w:rsidR="00272A1B" w:rsidRPr="00272A1B"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lastRenderedPageBreak/>
              <w:t>Вид поста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272A1B" w:rsidRPr="00272A1B"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272A1B" w:rsidRPr="00272A1B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Караулов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Внешних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Внутренних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Суточных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12-часовых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8-часовых постов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1B" w:rsidRPr="00272A1B"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72A1B" w:rsidRPr="00272A1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8. Обеспеченность охраны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8.1. Оружием и боеприпасами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(наименование и количество единиц боевого ручного стрелкового оружия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и патронов к нему - отдельно по каждому виду, типу, модели)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8.2. Специальными средствами и служебным огнестрельным оружием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(количество единиц специальных средств - отдельно по каждому виду, типу,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модели; количество единиц служебного огнестрельного оружия и патронов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к нему - отдельно по каждому виду, типу, модели)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8.3. Служебным авт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о-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мото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>- и авиатранспортом и водным транспортом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(нормы 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положенности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 xml:space="preserve"> авт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о-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мото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>- и авиатранспорта и водного транспорта,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его наличие, марка, год выпуска, назначение - отдельно по каждой единице)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8.4. Служебными собаками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(наличие питомника, вольеров и их количество для содержания служебных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собак - отдельно договорных и балансовых собак; количество караульных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собак, количество блокпостов, постов глухой привязи,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свободного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proofErr w:type="gramStart"/>
      <w:r w:rsidRPr="00272A1B">
        <w:rPr>
          <w:rFonts w:ascii="Courier New" w:hAnsi="Courier New" w:cs="Courier New"/>
          <w:sz w:val="20"/>
          <w:szCs w:val="20"/>
        </w:rPr>
        <w:t>окарауливания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9. Обеспечение сохранности оружия, боеприпасов и специальных средств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(характеристика помещения для хранения оружия, боеприпасов и специальных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средств, установленные средства охранной и пожарной сигнализации,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куда выведены)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10. Средний возраст сотрудников охраны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(лет)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11.  Уровень  подготовки  органов управления  и  персонала,  участвующих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обеспечении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 xml:space="preserve"> мероприятий по физической защите и охране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(наличие программы подготовки и переподготовки сотрудников охраны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и органов управления предприятия, кем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>, порядок ее реализации,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сведения о проводимых учениях, тренировках, проверках несения службы)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12.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Наличие   совместных  (с  войсками  национальной  гвардии  Российской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Федерации  и  другими  организациями)  планов  действий  личного  состава и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администрации объекта при возникновении чрезвычайных ситуаций, включая акты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незаконного  вмешательства,  стихийные  бедствия  и  прочее;  периодичность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проведения  совместных  тренировок  и  учений, наличие оперативного штаба 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специальных формирований, в том числе из штата предприятия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(наименование и дата утверждения)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6. Инженерно-технические средства охраны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1. Общая протяженность периметра, подлежащего ограждению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пог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>. м)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2. Содержание ограждения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(характеристика ограждений: капитальные, деревянные, из колючей проволоки,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сетчатые и другие, протяженность в 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пог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>. м каждого участка, состояние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ограждения)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3. Освещение охраняемой территории и периметра ограждения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(наличие, краткая характеристика)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4. Охранная сигнализация ограждения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(перечислить территории, ограждение которых заблокировано сигнализацией,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указать суммарную протяженность заблокированного ограждения в тог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.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м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>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тип и количество приборов сигнализации, установленных по периметру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ограждения)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5. Сигнализация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(количество лучей)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5.1. Охранная сигнализация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(количество лучей)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5.2. Пожарная сигнализация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(количество лучей)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5.3. Совмещенная охранная и пожарная сигнализация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(количество лучей)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5.4. Тревожная сигнализация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(количество лучей, куда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выведены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>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5.5. Наличие средств радиосвязи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(количество постов, оборудованных радиосвязью, тип и количество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радиостанций)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5.6. Наличие средств телефонной связи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(количество постов, оборудованных телефонной связью)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5.7. Наличие средств видеонаблюдения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(тип и количество видеокамер, контролируемые зоны)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6. Техника контрольно-пропускных пунктов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 xml:space="preserve">(тип и количество обычных турникетов, 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кабинно-турникетных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 xml:space="preserve"> систем,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автоматизированных систем пропуска и табельного учета, механизированных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ворот, применяемых сре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дств пр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>инудительной остановки транспорта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и иных специальных средств)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7. Наличие иных инженерных сооружений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(количество и содержание наблюдательных вышек, запретных зон,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контрольно-следовых полос, специальных сооружений и других)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8.    Эксплуатационно-техническое    обслуживание    средств    охраны    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пожарно-технической продукции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(кто обслуживает: специалисты предприятия или подрядной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специализированной организации)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272A1B" w:rsidRPr="00272A1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lastRenderedPageBreak/>
        <w:t xml:space="preserve">                         7. Пожарная безопасность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1. Наличие пожарной охраны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(Государственная противопожарная служба, муниципальная пожарная охрана,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ведомственная пожарная охрана, частная пожарная охрана, добровольная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пожарная охрана)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2. Наличие договорных подразделений Государственной противопожарной службы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(договорные подразделения)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3. Наличие сил и средств, обеспечивающих  взрывобезопасность  и  химическую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безопасность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(аттестованные аварийно-спасательные формирования предприятия,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технические и иные средства, порядок действия в соответствии с планом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ликвидации аварийной ситуации с участием как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специализированных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>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так и нештатных формирований)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8. Оценка антитеррористической защищенности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1.  Определение   требуемого   уровня   антитеррористической   защищенности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критических элементов объекта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63"/>
        <w:gridCol w:w="2144"/>
        <w:gridCol w:w="2683"/>
        <w:gridCol w:w="1685"/>
        <w:gridCol w:w="2055"/>
      </w:tblGrid>
      <w:tr w:rsidR="00272A1B" w:rsidRPr="00272A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Привлекательность для совершения террористического акта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Модель нарушителя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Требуемый уровень защищенности</w:t>
            </w:r>
          </w:p>
        </w:tc>
      </w:tr>
      <w:tr w:rsidR="00272A1B" w:rsidRPr="00272A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2A1B" w:rsidRPr="00272A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2.   Анализ   выполнения   задач    физической   защиты   для   обеспечения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защищенности критических элементов объекта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272A1B" w:rsidRPr="00272A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Организация охраны наблюдения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Рубежи обнаружения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Рубежи задержания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Условия доступа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Оценка выполнения задачи физической защиты</w:t>
            </w:r>
          </w:p>
        </w:tc>
      </w:tr>
      <w:tr w:rsidR="00272A1B" w:rsidRPr="00272A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2A1B" w:rsidRPr="00272A1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3. Оценка эффективности физической защиты критических элементов объекта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Способ предотвращения террористического акта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Модель нарушителя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Оценка времени действий охраны, мин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Оценка времени действий нарушителя, мин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Вывод о выполнении задачи по пресечению террористического акта</w:t>
            </w: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4. Оценка достаточности мероприятий по защите критических элементов объекта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72A1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A1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Наименование критического элемента объекта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Выполнение установленных требований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Выполнение задачи по физической защите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Вывод о достаточности мероприятий по защите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Компенсационные мероприятия</w:t>
            </w: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A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2A1B" w:rsidRPr="00272A1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1B" w:rsidRPr="00272A1B" w:rsidRDefault="00272A1B" w:rsidP="0027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72A1B" w:rsidRPr="00272A1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9. Другие сведения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(пояснения и другие сведения, не вошедшие в перечень вопросов паспорта,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в том числе количество размещенных на объекте других предприятий,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организаций, размеры занимаемых ими площадей, основание их размещения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на объекте, наличие у них самостоятельной охранной структуры,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ее принадлежность, вид, численность, вооруженность, техническая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оснащенность, состояние пропускного режима и прочее, порядок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взаимодействия с подразделением охраны на территории объекта)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10. Выводы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1. Объект находится в ведении (сфере деятельности)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(федеральный орган исполнительной власти)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2. Объект по отраслевому признаку и виду деятельности относится к категории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(по гражданской обороне, по режиму, по химической опасности и (или)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272A1B">
        <w:rPr>
          <w:rFonts w:ascii="Courier New" w:hAnsi="Courier New" w:cs="Courier New"/>
          <w:sz w:val="20"/>
          <w:szCs w:val="20"/>
        </w:rPr>
        <w:t>пожар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о</w:t>
      </w:r>
      <w:proofErr w:type="spellEnd"/>
      <w:r w:rsidRPr="00272A1B">
        <w:rPr>
          <w:rFonts w:ascii="Courier New" w:hAnsi="Courier New" w:cs="Courier New"/>
          <w:sz w:val="20"/>
          <w:szCs w:val="20"/>
        </w:rPr>
        <w:t>-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 xml:space="preserve"> и взрывоопасности)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3.  Объекту  по  совокупности  максимального  ущерба,  который  может  быть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нанесен</w:t>
      </w:r>
      <w:proofErr w:type="gramEnd"/>
      <w:r w:rsidRPr="00272A1B">
        <w:rPr>
          <w:rFonts w:ascii="Courier New" w:hAnsi="Courier New" w:cs="Courier New"/>
          <w:sz w:val="20"/>
          <w:szCs w:val="20"/>
        </w:rPr>
        <w:t xml:space="preserve">  в  результате  террористического  акта, и по степени потенциальной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опасности присваивается категория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(категория)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4. Выполнение требований охраны объекта и защиты его элементов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5. Наличие критических элементов объекта, их взаимовлияние  и  соответствие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требуемому уровню защищенности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6. Достаточность сил и средств для  выполнения  мероприятий  по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физической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защите и антитеррористической защищенности объекта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7.   Необходимые    дополнительные    мероприятия    по   совершенствованию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физической  защиты  и антитеррористической защищенности объекта с указанием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срока их выполнения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8. Вывод о системе охраны объекта (организации)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Приложения к паспорту: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1.  Ситуационный  план объекта с  обозначением  его  критических  элементов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72A1B">
        <w:rPr>
          <w:rFonts w:ascii="Courier New" w:hAnsi="Courier New" w:cs="Courier New"/>
          <w:sz w:val="20"/>
          <w:szCs w:val="20"/>
        </w:rPr>
        <w:t>(коммуникации,  планы  и  экспликации  отдельных зданий и сооружений или их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частей), содержащий все изменения его строительной части.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2.  План  и  схема  охраны   объекта   с   указанием  </w:t>
      </w:r>
      <w:proofErr w:type="gramStart"/>
      <w:r w:rsidRPr="00272A1B">
        <w:rPr>
          <w:rFonts w:ascii="Courier New" w:hAnsi="Courier New" w:cs="Courier New"/>
          <w:sz w:val="20"/>
          <w:szCs w:val="20"/>
        </w:rPr>
        <w:t>контрольно-пропускных</w:t>
      </w:r>
      <w:proofErr w:type="gramEnd"/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пунктов, постов охраны, инженерно-технических средств и уязвимых мест.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Члены межведомственной комиссии:           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        (Ф.И.О., подпись)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        (Ф.И.О., подпись)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 xml:space="preserve">                                                   (Ф.И.О., подпись)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2A1B">
        <w:rPr>
          <w:rFonts w:ascii="Courier New" w:hAnsi="Courier New" w:cs="Courier New"/>
          <w:sz w:val="20"/>
          <w:szCs w:val="20"/>
        </w:rPr>
        <w:t>Составлен "__" _________ 20__ г. Актуализирован "__" _________ 20__ г.</w:t>
      </w: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A1B" w:rsidRPr="00272A1B" w:rsidRDefault="00272A1B" w:rsidP="00272A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123D" w:rsidRDefault="00B8123D"/>
    <w:sectPr w:rsidR="00B8123D" w:rsidSect="00420A9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1B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72A1B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D1439"/>
    <w:rsid w:val="007E07CE"/>
    <w:rsid w:val="007E2F66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724E"/>
    <w:rsid w:val="00B737D3"/>
    <w:rsid w:val="00B76B13"/>
    <w:rsid w:val="00B804A8"/>
    <w:rsid w:val="00B8123D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87AA0A82F7C67931847DE6A98FFEA51AB950A3136CB52B97BEA2C7C61B2C4AC992A5DF91FB8A9M7uFN" TargetMode="External"/><Relationship Id="rId13" Type="http://schemas.openxmlformats.org/officeDocument/2006/relationships/hyperlink" Target="consultantplus://offline/ref=D6687AA0A82F7C67931847DE6A98FFEA52A291093132CB52B97BEA2C7C61B2C4AC992A5DF91FBEAAM7uBN" TargetMode="External"/><Relationship Id="rId18" Type="http://schemas.openxmlformats.org/officeDocument/2006/relationships/hyperlink" Target="consultantplus://offline/ref=D6687AA0A82F7C67931847DE6A98FFEA51AB91093535CB52B97BEA2C7C61B2C4AC992A5DF91FBEABM7u5N" TargetMode="External"/><Relationship Id="rId26" Type="http://schemas.openxmlformats.org/officeDocument/2006/relationships/hyperlink" Target="consultantplus://offline/ref=D6687AA0A82F7C67931847DE6A98FFEA52AE97093636CB52B97BEA2C7C61B2C4AC992A5DF91FBEABM7u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687AA0A82F7C67931847DE6A98FFEA52AD94063236CB52B97BEA2C7C61B2C4AC992A5DF91FBEA9M7uEN" TargetMode="External"/><Relationship Id="rId7" Type="http://schemas.openxmlformats.org/officeDocument/2006/relationships/hyperlink" Target="consultantplus://offline/ref=D6687AA0A82F7C67931847DE6A98FFEA52A291073930CB52B97BEA2C7C61B2C4AC992A5DF91FBEAAM7uFN" TargetMode="External"/><Relationship Id="rId12" Type="http://schemas.openxmlformats.org/officeDocument/2006/relationships/hyperlink" Target="consultantplus://offline/ref=D6687AA0A82F7C67931847DE6A98FFEA51AB91093534CB52B97BEA2C7C61B2C4AC992A5DF91FBEABM7u5N" TargetMode="External"/><Relationship Id="rId17" Type="http://schemas.openxmlformats.org/officeDocument/2006/relationships/hyperlink" Target="consultantplus://offline/ref=D6687AA0A82F7C67931847DE6A98FFEA51AB950A3136CB52B97BEA2C7C61B2C4AC992A5DF91FB8A9M7uBN" TargetMode="External"/><Relationship Id="rId25" Type="http://schemas.openxmlformats.org/officeDocument/2006/relationships/hyperlink" Target="consultantplus://offline/ref=D6687AA0A82F7C67931847DE6A98FFEA51AB950A3136CB52B97BEA2C7C61B2C4AC992A5DF91FB8A9M7u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687AA0A82F7C67931847DE6A98FFEA52A291073930CB52B97BEA2C7C61B2C4AC992A5DF91FBEAAM7uFN" TargetMode="External"/><Relationship Id="rId20" Type="http://schemas.openxmlformats.org/officeDocument/2006/relationships/hyperlink" Target="consultantplus://offline/ref=D6687AA0A82F7C67931847DE6A98FFEA51AB940F3639CB52B97BEA2C7C61B2C4AC992A5DF91FBCAAM7u5N" TargetMode="External"/><Relationship Id="rId29" Type="http://schemas.openxmlformats.org/officeDocument/2006/relationships/hyperlink" Target="consultantplus://offline/ref=D6687AA0A82F7C67931847DE6A98FFEA52AF9D0B3635CB52B97BEA2C7C61B2C4AC992A5DF91FBEAAM7u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87AA0A82F7C67931847DE6A98FFEA51AB940D3437CB52B97BEA2C7C61B2C4AC992A5DF91FB9A2M7u5N" TargetMode="External"/><Relationship Id="rId11" Type="http://schemas.openxmlformats.org/officeDocument/2006/relationships/hyperlink" Target="consultantplus://offline/ref=D6687AA0A82F7C67931847DE6A98FFEA51AB950A3136CB52B97BEA2C7C61B2C4AC992A5DF91FB8A9M7uEN" TargetMode="External"/><Relationship Id="rId24" Type="http://schemas.openxmlformats.org/officeDocument/2006/relationships/hyperlink" Target="consultantplus://offline/ref=D6687AA0A82F7C67931847DE6A98FFEA51AB940D3437CB52B97BEA2C7C61B2C4AC992A5DF91FB6ABM7uE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6687AA0A82F7C67931847DE6A98FFEA52AD94063236CB52B97BEA2C7C61B2C4AC992A5DF91FBEA9M7uEN" TargetMode="External"/><Relationship Id="rId15" Type="http://schemas.openxmlformats.org/officeDocument/2006/relationships/hyperlink" Target="consultantplus://offline/ref=D6687AA0A82F7C67931847DE6A98FFEA51AB930D3537CB52B97BEA2C7C61B2C4AC992A5DF91FBEABM7u5N" TargetMode="External"/><Relationship Id="rId23" Type="http://schemas.openxmlformats.org/officeDocument/2006/relationships/hyperlink" Target="consultantplus://offline/ref=D6687AA0A82F7C67931847DE6A98FFEA51AB950A3136CB52B97BEA2C7C61B2C4AC992A5DF91FB8A9M7u5N" TargetMode="External"/><Relationship Id="rId28" Type="http://schemas.openxmlformats.org/officeDocument/2006/relationships/hyperlink" Target="consultantplus://offline/ref=D6687AA0A82F7C67931847DE6A98FFEA51AB940D3437CB52B97BEA2C7C61B2C4AC992A5DF91FB6ABM7u9N" TargetMode="External"/><Relationship Id="rId10" Type="http://schemas.openxmlformats.org/officeDocument/2006/relationships/hyperlink" Target="consultantplus://offline/ref=D6687AA0A82F7C67931847DE6A98FFEA51AB940D3437CB52B97BEA2C7C61B2C4AC992A5DF91FB9A2M7u4N" TargetMode="External"/><Relationship Id="rId19" Type="http://schemas.openxmlformats.org/officeDocument/2006/relationships/hyperlink" Target="consultantplus://offline/ref=D6687AA0A82F7C67931847DE6A98FFEA51AB950A3136CB52B97BEA2C7C61B2C4AC992A5DF91FB8A9M7uA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6687AA0A82F7C67931847DE6A98FFEA52AF9D0B3635CB52B97BEA2C7C61B2C4AC992A5DF91FBEABM7u4N" TargetMode="External"/><Relationship Id="rId9" Type="http://schemas.openxmlformats.org/officeDocument/2006/relationships/hyperlink" Target="consultantplus://offline/ref=D6687AA0A82F7C67931847DE6A98FFEA51AB940F3639CB52B97BEA2C7C61B2C4AC992A5DF91FBCAAM7u5N" TargetMode="External"/><Relationship Id="rId14" Type="http://schemas.openxmlformats.org/officeDocument/2006/relationships/hyperlink" Target="consultantplus://offline/ref=D6687AA0A82F7C67931847DE6A98FFEA51AB950A3136CB52B97BEA2C7C61B2C4AC992A5DF91FB8A9M7u8N" TargetMode="External"/><Relationship Id="rId22" Type="http://schemas.openxmlformats.org/officeDocument/2006/relationships/hyperlink" Target="consultantplus://offline/ref=D6687AA0A82F7C67931847DE6A98FFEA52A9900C3237CB52B97BEA2C7C61B2C4AC992A5DF91FBEAAM7uDN" TargetMode="External"/><Relationship Id="rId27" Type="http://schemas.openxmlformats.org/officeDocument/2006/relationships/hyperlink" Target="consultantplus://offline/ref=D6687AA0A82F7C67931847DE6A98FFEA52AF9D0B3635CB52B97BEA2C7C61B2C4AC992A5DF91FBEAAM7uDN" TargetMode="External"/><Relationship Id="rId30" Type="http://schemas.openxmlformats.org/officeDocument/2006/relationships/hyperlink" Target="consultantplus://offline/ref=D6687AA0A82F7C67931847DE6A98FFEA51AB950A3136CB52B97BEA2C7C61B2C4AC992A5DF91FB8A8M7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8537</Words>
  <Characters>48664</Characters>
  <Application>Microsoft Office Word</Application>
  <DocSecurity>0</DocSecurity>
  <Lines>405</Lines>
  <Paragraphs>114</Paragraphs>
  <ScaleCrop>false</ScaleCrop>
  <Company>DNA Project</Company>
  <LinksUpToDate>false</LinksUpToDate>
  <CharactersWithSpaces>57087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2016-11-18T13:46:00Z</dcterms:created>
  <dcterms:modified xsi:type="dcterms:W3CDTF">2016-11-18T13:47:00Z</dcterms:modified>
</cp:coreProperties>
</file>