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CC680C">
        <w:rPr>
          <w:szCs w:val="24"/>
          <w:lang w:val="ru-RU"/>
        </w:rPr>
        <w:t>20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70639E">
        <w:rPr>
          <w:szCs w:val="24"/>
          <w:lang w:val="ru-RU"/>
        </w:rPr>
        <w:t>01</w:t>
      </w:r>
      <w:r w:rsidR="00E35DB4">
        <w:rPr>
          <w:szCs w:val="24"/>
          <w:lang w:val="ru-RU"/>
        </w:rPr>
        <w:t>.</w:t>
      </w:r>
      <w:r w:rsidR="0070639E">
        <w:rPr>
          <w:szCs w:val="24"/>
          <w:lang w:val="ru-RU"/>
        </w:rPr>
        <w:t>11</w:t>
      </w:r>
      <w:r w:rsidR="00A201AC">
        <w:rPr>
          <w:szCs w:val="24"/>
          <w:lang w:val="ru-RU"/>
        </w:rPr>
        <w:t>.201</w:t>
      </w:r>
      <w:r w:rsidR="00726056">
        <w:rPr>
          <w:szCs w:val="24"/>
          <w:lang w:val="ru-RU"/>
        </w:rPr>
        <w:t>9</w:t>
      </w:r>
      <w:r w:rsidR="00214BC8" w:rsidRPr="00436824">
        <w:rPr>
          <w:szCs w:val="24"/>
          <w:lang w:val="ru-RU"/>
        </w:rPr>
        <w:t xml:space="preserve"> № </w:t>
      </w:r>
      <w:r w:rsidR="0070639E">
        <w:rPr>
          <w:szCs w:val="24"/>
          <w:lang w:val="ru-RU"/>
        </w:rPr>
        <w:t>20</w:t>
      </w:r>
      <w:r w:rsidR="00CC680C">
        <w:rPr>
          <w:szCs w:val="24"/>
          <w:lang w:val="ru-RU"/>
        </w:rPr>
        <w:t>29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CC680C">
        <w:rPr>
          <w:b/>
          <w:szCs w:val="24"/>
          <w:lang w:val="ru-RU"/>
        </w:rPr>
        <w:t>19</w:t>
      </w:r>
      <w:r w:rsidR="003346F0">
        <w:rPr>
          <w:b/>
          <w:szCs w:val="24"/>
          <w:lang w:val="ru-RU"/>
        </w:rPr>
        <w:t>.</w:t>
      </w:r>
      <w:r w:rsidR="00726056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.201</w:t>
      </w:r>
      <w:r w:rsidR="00726056">
        <w:rPr>
          <w:b/>
          <w:szCs w:val="24"/>
          <w:lang w:val="ru-RU"/>
        </w:rPr>
        <w:t>9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CC680C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 xml:space="preserve">продажа земельного </w:t>
      </w:r>
      <w:bookmarkStart w:id="0" w:name="_GoBack"/>
      <w:bookmarkEnd w:id="0"/>
      <w:r w:rsidR="00B679BF">
        <w:rPr>
          <w:szCs w:val="24"/>
          <w:lang w:val="ru-RU"/>
        </w:rPr>
        <w:t>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CC680C" w:rsidRDefault="00E35DB4" w:rsidP="00E35DB4">
            <w:pPr>
              <w:jc w:val="both"/>
              <w:rPr>
                <w:sz w:val="20"/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CC680C" w:rsidRPr="00CC680C">
              <w:rPr>
                <w:szCs w:val="28"/>
              </w:rPr>
              <w:t>Российская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Федерация</w:t>
            </w:r>
            <w:proofErr w:type="spellEnd"/>
            <w:r w:rsidR="00CC680C" w:rsidRPr="00CC680C">
              <w:rPr>
                <w:szCs w:val="28"/>
              </w:rPr>
              <w:t xml:space="preserve">, </w:t>
            </w:r>
            <w:proofErr w:type="spellStart"/>
            <w:r w:rsidR="00CC680C" w:rsidRPr="00CC680C">
              <w:rPr>
                <w:szCs w:val="28"/>
              </w:rPr>
              <w:t>Ставр</w:t>
            </w:r>
            <w:r w:rsidR="00CC680C" w:rsidRPr="00CC680C">
              <w:rPr>
                <w:szCs w:val="28"/>
              </w:rPr>
              <w:t>о</w:t>
            </w:r>
            <w:r w:rsidR="00CC680C" w:rsidRPr="00CC680C">
              <w:rPr>
                <w:szCs w:val="28"/>
              </w:rPr>
              <w:t>польский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край</w:t>
            </w:r>
            <w:proofErr w:type="spellEnd"/>
            <w:r w:rsidR="00CC680C" w:rsidRPr="00CC680C">
              <w:rPr>
                <w:szCs w:val="28"/>
              </w:rPr>
              <w:t xml:space="preserve">, </w:t>
            </w:r>
            <w:proofErr w:type="spellStart"/>
            <w:r w:rsidR="00CC680C" w:rsidRPr="00CC680C">
              <w:rPr>
                <w:szCs w:val="28"/>
              </w:rPr>
              <w:t>городской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округ</w:t>
            </w:r>
            <w:proofErr w:type="spellEnd"/>
            <w:r w:rsidR="00CC680C" w:rsidRPr="00CC680C">
              <w:rPr>
                <w:szCs w:val="28"/>
              </w:rPr>
              <w:t xml:space="preserve"> – </w:t>
            </w:r>
            <w:proofErr w:type="spellStart"/>
            <w:r w:rsidR="00CC680C" w:rsidRPr="00CC680C">
              <w:rPr>
                <w:szCs w:val="28"/>
              </w:rPr>
              <w:t>город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Невинномысск</w:t>
            </w:r>
            <w:proofErr w:type="spellEnd"/>
            <w:r w:rsidR="00CC680C" w:rsidRPr="00CC680C">
              <w:rPr>
                <w:szCs w:val="28"/>
              </w:rPr>
              <w:t xml:space="preserve">, </w:t>
            </w:r>
            <w:proofErr w:type="spellStart"/>
            <w:r w:rsidR="00CC680C" w:rsidRPr="00CC680C">
              <w:rPr>
                <w:szCs w:val="28"/>
              </w:rPr>
              <w:t>город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Невинномысск</w:t>
            </w:r>
            <w:proofErr w:type="spellEnd"/>
            <w:r w:rsidR="00CC680C" w:rsidRPr="00CC680C">
              <w:rPr>
                <w:szCs w:val="28"/>
              </w:rPr>
              <w:t xml:space="preserve">, </w:t>
            </w:r>
            <w:proofErr w:type="spellStart"/>
            <w:r w:rsidR="00CC680C" w:rsidRPr="00CC680C">
              <w:rPr>
                <w:szCs w:val="28"/>
              </w:rPr>
              <w:t>улица</w:t>
            </w:r>
            <w:proofErr w:type="spellEnd"/>
            <w:r w:rsidR="00CC680C" w:rsidRPr="00CC680C">
              <w:rPr>
                <w:szCs w:val="28"/>
              </w:rPr>
              <w:t xml:space="preserve"> </w:t>
            </w:r>
            <w:proofErr w:type="spellStart"/>
            <w:r w:rsidR="00CC680C" w:rsidRPr="00CC680C">
              <w:rPr>
                <w:szCs w:val="28"/>
              </w:rPr>
              <w:t>Лабинская</w:t>
            </w:r>
            <w:proofErr w:type="spellEnd"/>
            <w:r w:rsidR="00CC680C" w:rsidRPr="00CC680C">
              <w:rPr>
                <w:szCs w:val="28"/>
              </w:rPr>
              <w:t>, 28.</w:t>
            </w:r>
          </w:p>
          <w:p w:rsidR="00CC680C" w:rsidRPr="002B12A6" w:rsidRDefault="00E35DB4" w:rsidP="004870A5">
            <w:pPr>
              <w:jc w:val="both"/>
              <w:rPr>
                <w:szCs w:val="28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CC680C" w:rsidRPr="002B12A6">
              <w:rPr>
                <w:szCs w:val="28"/>
              </w:rPr>
              <w:t xml:space="preserve">673 </w:t>
            </w:r>
            <w:proofErr w:type="spellStart"/>
            <w:r w:rsidR="00CC680C" w:rsidRPr="002B12A6">
              <w:rPr>
                <w:szCs w:val="28"/>
              </w:rPr>
              <w:t>кв.м</w:t>
            </w:r>
            <w:proofErr w:type="spellEnd"/>
            <w:r w:rsidR="00CC680C" w:rsidRPr="002B12A6">
              <w:rPr>
                <w:szCs w:val="28"/>
              </w:rPr>
              <w:t>.</w:t>
            </w:r>
          </w:p>
          <w:p w:rsidR="004870A5" w:rsidRPr="002B12A6" w:rsidRDefault="00E35DB4" w:rsidP="004870A5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Кадастровый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номер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земельного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участка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r w:rsidR="00CC680C" w:rsidRPr="002B12A6">
              <w:rPr>
                <w:szCs w:val="28"/>
              </w:rPr>
              <w:t>26:16:071010:25.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Категория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земли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населенных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пунктов</w:t>
            </w:r>
            <w:proofErr w:type="spellEnd"/>
            <w:r w:rsidRPr="002B12A6">
              <w:rPr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Разрешенное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использование</w:t>
            </w:r>
            <w:proofErr w:type="spellEnd"/>
            <w:r w:rsidRPr="002B12A6">
              <w:rPr>
                <w:szCs w:val="28"/>
              </w:rPr>
              <w:t xml:space="preserve">: </w:t>
            </w:r>
            <w:proofErr w:type="spellStart"/>
            <w:r w:rsidR="00726056" w:rsidRPr="002B12A6">
              <w:rPr>
                <w:szCs w:val="28"/>
              </w:rPr>
              <w:t>для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индивидуального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жилищного</w:t>
            </w:r>
            <w:proofErr w:type="spellEnd"/>
            <w:r w:rsidR="00726056" w:rsidRPr="002B12A6">
              <w:rPr>
                <w:szCs w:val="28"/>
              </w:rPr>
              <w:t xml:space="preserve"> </w:t>
            </w:r>
            <w:proofErr w:type="spellStart"/>
            <w:r w:rsidR="00726056" w:rsidRPr="002B12A6">
              <w:rPr>
                <w:szCs w:val="28"/>
              </w:rPr>
              <w:t>строительства</w:t>
            </w:r>
            <w:proofErr w:type="spellEnd"/>
            <w:r w:rsidR="00726056" w:rsidRPr="002B12A6">
              <w:rPr>
                <w:szCs w:val="28"/>
              </w:rPr>
              <w:t>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r w:rsidRPr="002B12A6">
              <w:rPr>
                <w:b/>
                <w:szCs w:val="28"/>
              </w:rPr>
              <w:t xml:space="preserve">Начальная цена предмета аукциона: </w:t>
            </w:r>
            <w:r w:rsidR="00CC680C" w:rsidRPr="002B12A6">
              <w:rPr>
                <w:szCs w:val="28"/>
              </w:rPr>
              <w:t>603 008,00</w:t>
            </w:r>
            <w:r w:rsidRPr="002B12A6">
              <w:rPr>
                <w:szCs w:val="28"/>
              </w:rPr>
              <w:t>руб.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r w:rsidRPr="002B12A6">
              <w:rPr>
                <w:b/>
                <w:szCs w:val="28"/>
              </w:rPr>
              <w:t>Сумма задатка:</w:t>
            </w:r>
            <w:r w:rsidR="006C299B" w:rsidRPr="002B12A6">
              <w:rPr>
                <w:szCs w:val="28"/>
              </w:rPr>
              <w:t xml:space="preserve"> </w:t>
            </w:r>
            <w:r w:rsidR="00CC680C" w:rsidRPr="002B12A6">
              <w:rPr>
                <w:szCs w:val="28"/>
              </w:rPr>
              <w:t>603 008</w:t>
            </w:r>
            <w:r w:rsidR="006E4A74" w:rsidRPr="002B12A6">
              <w:rPr>
                <w:szCs w:val="28"/>
              </w:rPr>
              <w:t>,00</w:t>
            </w:r>
            <w:r w:rsidR="0070639E" w:rsidRPr="002B12A6">
              <w:rPr>
                <w:szCs w:val="28"/>
              </w:rPr>
              <w:t xml:space="preserve"> </w:t>
            </w:r>
            <w:r w:rsidR="00FB2B91" w:rsidRPr="002B12A6">
              <w:rPr>
                <w:szCs w:val="28"/>
              </w:rPr>
              <w:t xml:space="preserve"> руб.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CC680C">
              <w:rPr>
                <w:szCs w:val="24"/>
                <w:lang w:val="ru-RU"/>
              </w:rPr>
              <w:t>18090</w:t>
            </w:r>
            <w:r w:rsidR="006E4A74">
              <w:rPr>
                <w:szCs w:val="24"/>
                <w:lang w:val="ru-RU"/>
              </w:rPr>
              <w:t>,</w:t>
            </w:r>
            <w:r w:rsidR="004870A5">
              <w:rPr>
                <w:szCs w:val="24"/>
                <w:lang w:val="ru-RU"/>
              </w:rPr>
              <w:t>2</w:t>
            </w:r>
            <w:r w:rsidR="006E4A74">
              <w:rPr>
                <w:szCs w:val="24"/>
                <w:lang w:val="ru-RU"/>
              </w:rPr>
              <w:t>0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CC680C" w:rsidRPr="00CC680C" w:rsidRDefault="00CC680C" w:rsidP="00CC680C">
            <w:pPr>
              <w:jc w:val="both"/>
              <w:rPr>
                <w:szCs w:val="24"/>
              </w:rPr>
            </w:pPr>
            <w:r w:rsidRPr="00CC680C">
              <w:rPr>
                <w:szCs w:val="24"/>
              </w:rPr>
              <w:t>отсутствуют.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>роительства зоны Ж-</w:t>
            </w:r>
            <w:r w:rsidR="00726056" w:rsidRPr="00831927">
              <w:rPr>
                <w:szCs w:val="24"/>
                <w:lang w:val="ru-RU"/>
              </w:rPr>
              <w:t>1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</w:t>
      </w:r>
      <w:r w:rsidRPr="00151C71">
        <w:rPr>
          <w:bCs/>
          <w:szCs w:val="24"/>
          <w:lang w:val="ru-RU"/>
        </w:rPr>
        <w:lastRenderedPageBreak/>
        <w:t>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>
        <w:rPr>
          <w:color w:val="000000"/>
          <w:szCs w:val="24"/>
          <w:lang w:val="ru-RU" w:eastAsia="ru-RU"/>
        </w:rPr>
        <w:t>Невинномысскгоргаз</w:t>
      </w:r>
      <w:proofErr w:type="spellEnd"/>
      <w:r>
        <w:rPr>
          <w:color w:val="000000"/>
          <w:szCs w:val="24"/>
          <w:lang w:val="ru-RU" w:eastAsia="ru-RU"/>
        </w:rPr>
        <w:t>».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F0625C" w:rsidRDefault="00F0625C" w:rsidP="00F0625C">
      <w:pPr>
        <w:jc w:val="both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F0625C" w:rsidRDefault="00F0625C" w:rsidP="00F0625C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Технические условия на подключение (технологическое присоединение) </w:t>
      </w:r>
      <w:r>
        <w:rPr>
          <w:bCs/>
          <w:szCs w:val="24"/>
          <w:lang w:val="ru-RU"/>
        </w:rPr>
        <w:t xml:space="preserve">к системе центрального теплоснабжения, объекта капитального строительства по улице </w:t>
      </w:r>
      <w:proofErr w:type="spellStart"/>
      <w:r w:rsidR="00CC680C">
        <w:rPr>
          <w:bCs/>
          <w:szCs w:val="24"/>
          <w:lang w:val="ru-RU"/>
        </w:rPr>
        <w:t>Лабинской</w:t>
      </w:r>
      <w:proofErr w:type="spellEnd"/>
      <w:r w:rsidR="00CC680C">
        <w:rPr>
          <w:bCs/>
          <w:szCs w:val="24"/>
          <w:lang w:val="ru-RU"/>
        </w:rPr>
        <w:t>, 28</w:t>
      </w:r>
      <w:r w:rsidR="0062064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(кадастровый номер земельного участка 26:16:0710</w:t>
      </w:r>
      <w:r w:rsidR="00BC6146">
        <w:rPr>
          <w:bCs/>
          <w:szCs w:val="24"/>
          <w:lang w:val="ru-RU"/>
        </w:rPr>
        <w:t>0</w:t>
      </w:r>
      <w:r w:rsidR="0062064D">
        <w:rPr>
          <w:bCs/>
          <w:szCs w:val="24"/>
          <w:lang w:val="ru-RU"/>
        </w:rPr>
        <w:t>8</w:t>
      </w:r>
      <w:r>
        <w:rPr>
          <w:bCs/>
          <w:szCs w:val="24"/>
          <w:lang w:val="ru-RU"/>
        </w:rPr>
        <w:t>:</w:t>
      </w:r>
      <w:r w:rsidR="0062064D">
        <w:rPr>
          <w:bCs/>
          <w:szCs w:val="24"/>
          <w:lang w:val="ru-RU"/>
        </w:rPr>
        <w:t>1</w:t>
      </w:r>
      <w:r w:rsidR="004870A5">
        <w:rPr>
          <w:bCs/>
          <w:szCs w:val="24"/>
          <w:lang w:val="ru-RU"/>
        </w:rPr>
        <w:t>5</w:t>
      </w:r>
      <w:r>
        <w:rPr>
          <w:bCs/>
          <w:szCs w:val="24"/>
          <w:lang w:val="ru-RU"/>
        </w:rPr>
        <w:t>) АО</w:t>
      </w:r>
      <w:r w:rsidRPr="00151C71">
        <w:rPr>
          <w:bCs/>
          <w:szCs w:val="24"/>
          <w:lang w:val="ru-RU"/>
        </w:rPr>
        <w:t xml:space="preserve"> «Теплосеть» выдать не может, в виду отсутствия тепловых сетей </w:t>
      </w:r>
      <w:proofErr w:type="gramStart"/>
      <w:r w:rsidRPr="00151C71">
        <w:rPr>
          <w:bCs/>
          <w:szCs w:val="24"/>
          <w:lang w:val="ru-RU"/>
        </w:rPr>
        <w:t>в</w:t>
      </w:r>
      <w:proofErr w:type="gramEnd"/>
      <w:r w:rsidRPr="00151C7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данном </w:t>
      </w:r>
      <w:proofErr w:type="spellStart"/>
      <w:r>
        <w:rPr>
          <w:bCs/>
          <w:szCs w:val="24"/>
          <w:lang w:val="ru-RU"/>
        </w:rPr>
        <w:t>рйоне</w:t>
      </w:r>
      <w:proofErr w:type="spellEnd"/>
      <w:r>
        <w:rPr>
          <w:bCs/>
          <w:szCs w:val="24"/>
          <w:lang w:val="ru-RU"/>
        </w:rPr>
        <w:t>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6267C5">
        <w:rPr>
          <w:b/>
          <w:szCs w:val="24"/>
          <w:lang w:val="ru-RU"/>
        </w:rPr>
        <w:t>16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F0625C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3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.201</w:t>
      </w:r>
      <w:r w:rsidR="00F0625C">
        <w:rPr>
          <w:b/>
          <w:szCs w:val="24"/>
          <w:lang w:val="ru-RU"/>
        </w:rPr>
        <w:t>9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lastRenderedPageBreak/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6</w:t>
      </w:r>
      <w:r w:rsid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6267C5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6</w:t>
      </w:r>
      <w:r w:rsidR="003B176E" w:rsidRP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6267C5">
        <w:rPr>
          <w:b/>
          <w:szCs w:val="24"/>
          <w:lang w:val="ru-RU"/>
        </w:rPr>
        <w:t>1</w:t>
      </w:r>
      <w:r w:rsidR="00CC680C">
        <w:rPr>
          <w:b/>
          <w:szCs w:val="24"/>
          <w:lang w:val="ru-RU"/>
        </w:rPr>
        <w:t>7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lastRenderedPageBreak/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62064D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064D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CC680C">
        <w:rPr>
          <w:b/>
          <w:szCs w:val="24"/>
          <w:lang w:val="ru-RU"/>
        </w:rPr>
        <w:t>13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831927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5D" w:rsidRDefault="007B3D5D">
      <w:r>
        <w:separator/>
      </w:r>
    </w:p>
  </w:endnote>
  <w:endnote w:type="continuationSeparator" w:id="0">
    <w:p w:rsidR="007B3D5D" w:rsidRDefault="007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5D" w:rsidRDefault="007B3D5D">
      <w:r>
        <w:separator/>
      </w:r>
    </w:p>
  </w:footnote>
  <w:footnote w:type="continuationSeparator" w:id="0">
    <w:p w:rsidR="007B3D5D" w:rsidRDefault="007B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2A6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15228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27</cp:revision>
  <cp:lastPrinted>2019-11-13T06:19:00Z</cp:lastPrinted>
  <dcterms:created xsi:type="dcterms:W3CDTF">2017-08-30T13:19:00Z</dcterms:created>
  <dcterms:modified xsi:type="dcterms:W3CDTF">2019-11-13T06:20:00Z</dcterms:modified>
</cp:coreProperties>
</file>