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9B" w:rsidRPr="00350E31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90E9B" w:rsidRPr="00350E31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к постановлению администрации</w:t>
      </w:r>
    </w:p>
    <w:p w:rsidR="00890E9B" w:rsidRPr="00350E31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B5376" w:rsidRPr="008B5376" w:rsidRDefault="008B5376" w:rsidP="008B5376">
      <w:pPr>
        <w:jc w:val="center"/>
        <w:rPr>
          <w:sz w:val="28"/>
          <w:szCs w:val="28"/>
          <w:lang w:eastAsia="en-US"/>
        </w:rPr>
      </w:pPr>
      <w:r w:rsidRPr="008B5376">
        <w:rPr>
          <w:sz w:val="28"/>
          <w:szCs w:val="28"/>
          <w:lang w:eastAsia="en-US"/>
        </w:rPr>
        <w:t>ПОЛОЖЕНИЕ</w:t>
      </w:r>
    </w:p>
    <w:p w:rsidR="003E53F1" w:rsidRDefault="008B5376" w:rsidP="008B5376">
      <w:pPr>
        <w:jc w:val="center"/>
        <w:rPr>
          <w:sz w:val="28"/>
          <w:szCs w:val="28"/>
        </w:rPr>
      </w:pPr>
      <w:r w:rsidRPr="008B5376">
        <w:rPr>
          <w:sz w:val="28"/>
          <w:szCs w:val="28"/>
          <w:lang w:eastAsia="en-US"/>
        </w:rPr>
        <w:t>о системах оплаты труда работников муниципальных бюджетных,</w:t>
      </w:r>
      <w:r>
        <w:rPr>
          <w:sz w:val="28"/>
          <w:szCs w:val="28"/>
          <w:lang w:eastAsia="en-US"/>
        </w:rPr>
        <w:t xml:space="preserve"> </w:t>
      </w:r>
      <w:r w:rsidRPr="008B5376">
        <w:rPr>
          <w:sz w:val="28"/>
          <w:szCs w:val="28"/>
          <w:lang w:eastAsia="en-US"/>
        </w:rPr>
        <w:t>автономных и казенных учреждений города Невинномысска</w:t>
      </w:r>
    </w:p>
    <w:p w:rsidR="003E53F1" w:rsidRDefault="003E53F1" w:rsidP="003E53F1">
      <w:pPr>
        <w:ind w:firstLine="709"/>
        <w:jc w:val="both"/>
        <w:rPr>
          <w:sz w:val="28"/>
          <w:szCs w:val="28"/>
        </w:rPr>
      </w:pP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1. </w:t>
      </w:r>
      <w:proofErr w:type="gramStart"/>
      <w:r w:rsidRPr="008B5376">
        <w:rPr>
          <w:sz w:val="28"/>
          <w:szCs w:val="28"/>
        </w:rPr>
        <w:t>Системы оплаты труда работников муниципальных бюджетных, автономных и казенных учреждений города Невинномысска (далее совместно именуемые -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Ставропольского края, содержащими нормы трудового</w:t>
      </w:r>
      <w:proofErr w:type="gramEnd"/>
      <w:r w:rsidRPr="008B5376">
        <w:rPr>
          <w:sz w:val="28"/>
          <w:szCs w:val="28"/>
        </w:rPr>
        <w:t xml:space="preserve"> права, а также настоящим Положением.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2. Системы оплаты труда работников муниципальных учреждений устанавливаются с учетом: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государственных гарантий по оплате труда;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 компенсационного и стимулирующего характера, предусмотренных пунктами 5 и 6 настоящего Положения;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мнения представительного органа работников муниципального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3. </w:t>
      </w:r>
      <w:proofErr w:type="gramStart"/>
      <w:r w:rsidRPr="008B5376">
        <w:rPr>
          <w:sz w:val="28"/>
          <w:szCs w:val="28"/>
        </w:rPr>
        <w:t>Системы оплаты труда работников муниципальных бюджетных и автономных учреждений города Невинномысска (далее - бюджетные и автономные учреждения)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разработанных на основании рекомендаций органов государственной власти Ставропольского края и утверждаемых органами администрации города Невинномысска (далее - органы администрации), осуществляющими функции и полномочия учредителя этих учреждений</w:t>
      </w:r>
      <w:proofErr w:type="gramEnd"/>
      <w:r w:rsidRPr="008B5376">
        <w:rPr>
          <w:sz w:val="28"/>
          <w:szCs w:val="28"/>
        </w:rPr>
        <w:t xml:space="preserve">. Указанные примерные </w:t>
      </w:r>
      <w:r w:rsidRPr="008B5376">
        <w:rPr>
          <w:sz w:val="28"/>
          <w:szCs w:val="28"/>
        </w:rPr>
        <w:lastRenderedPageBreak/>
        <w:t>положения носят для бюджетных и автономных учреждений рекомендательный характер.</w:t>
      </w:r>
    </w:p>
    <w:p w:rsid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Системы </w:t>
      </w:r>
      <w:proofErr w:type="gramStart"/>
      <w:r w:rsidRPr="008B5376">
        <w:rPr>
          <w:sz w:val="28"/>
          <w:szCs w:val="28"/>
        </w:rPr>
        <w:t>оплаты труда работников муниципальных казенных учреждений города</w:t>
      </w:r>
      <w:proofErr w:type="gramEnd"/>
      <w:r w:rsidRPr="008B5376">
        <w:rPr>
          <w:sz w:val="28"/>
          <w:szCs w:val="28"/>
        </w:rPr>
        <w:t xml:space="preserve"> Невинномысска (далее - казенные учреждения) устанавливаются положениями об оплате труда работников подведомственных казенных учреждений по видам экономической деятельности, разработанных на основании рекомендаций органов государственной власти Ставропольского края и утверждаемых органами администрации, осуществляющими функции и полномочия учредителя этих учреждений. Указанные положения носят для казенных учреждений обязательный характер.</w:t>
      </w:r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F2893">
        <w:rPr>
          <w:kern w:val="2"/>
          <w:sz w:val="28"/>
          <w:szCs w:val="28"/>
          <w:lang w:eastAsia="ar-SA"/>
        </w:rPr>
        <w:t xml:space="preserve">3.1. </w:t>
      </w:r>
      <w:r>
        <w:rPr>
          <w:kern w:val="2"/>
          <w:sz w:val="28"/>
          <w:szCs w:val="28"/>
          <w:lang w:eastAsia="ar-SA"/>
        </w:rPr>
        <w:t>Органы администрации, осуществляющие функции и полномочия учредителя муниципальных учреждений,</w:t>
      </w:r>
      <w:r w:rsidRPr="004F2893">
        <w:rPr>
          <w:kern w:val="2"/>
          <w:sz w:val="28"/>
          <w:szCs w:val="28"/>
          <w:lang w:eastAsia="ar-SA"/>
        </w:rPr>
        <w:t xml:space="preserve"> при утверждении положений (примерных положений) об оплате труда работников подведомственных учреждений по видам экономической деятельности предусматривают условие </w:t>
      </w:r>
      <w:proofErr w:type="spellStart"/>
      <w:r w:rsidRPr="004F2893">
        <w:rPr>
          <w:kern w:val="2"/>
          <w:sz w:val="28"/>
          <w:szCs w:val="28"/>
          <w:lang w:eastAsia="ar-SA"/>
        </w:rPr>
        <w:t>непревышения</w:t>
      </w:r>
      <w:proofErr w:type="spellEnd"/>
      <w:r w:rsidRPr="004F2893">
        <w:rPr>
          <w:kern w:val="2"/>
          <w:sz w:val="28"/>
          <w:szCs w:val="28"/>
          <w:lang w:eastAsia="ar-SA"/>
        </w:rPr>
        <w:t xml:space="preserve"> расчетного среднемесячного уровня оплаты труда работников указанных учреждений над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</w:t>
      </w:r>
      <w:r>
        <w:rPr>
          <w:kern w:val="2"/>
          <w:sz w:val="28"/>
          <w:szCs w:val="28"/>
          <w:lang w:eastAsia="ar-SA"/>
        </w:rPr>
        <w:t xml:space="preserve">органов администрации в отношении учреждений, осуществляющих исполнение муниципальных услуг, созданных в целях реализации полномочий органов администрации, а так же обеспечивающих деятельность указанных органов администрации </w:t>
      </w:r>
      <w:r w:rsidRPr="004F2893">
        <w:rPr>
          <w:kern w:val="2"/>
          <w:sz w:val="28"/>
          <w:szCs w:val="28"/>
          <w:lang w:eastAsia="ar-SA"/>
        </w:rPr>
        <w:t xml:space="preserve">(административно-хозяйственное, информационно-техническое и кадровое обеспечение, делопроизводство, </w:t>
      </w:r>
      <w:r w:rsidRPr="00A857D3">
        <w:rPr>
          <w:kern w:val="2"/>
          <w:sz w:val="28"/>
          <w:szCs w:val="28"/>
          <w:lang w:eastAsia="ar-SA"/>
        </w:rPr>
        <w:t>бухгалтерский учет и отчетность).</w:t>
      </w:r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857D3">
        <w:rPr>
          <w:kern w:val="2"/>
          <w:sz w:val="28"/>
          <w:szCs w:val="28"/>
          <w:lang w:eastAsia="ar-SA"/>
        </w:rPr>
        <w:t xml:space="preserve">3.2. </w:t>
      </w:r>
      <w:proofErr w:type="gramStart"/>
      <w:r w:rsidRPr="00A857D3">
        <w:rPr>
          <w:kern w:val="2"/>
          <w:sz w:val="28"/>
          <w:szCs w:val="28"/>
          <w:lang w:eastAsia="ar-SA"/>
        </w:rPr>
        <w:t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на</w:t>
      </w:r>
      <w:proofErr w:type="gramEnd"/>
      <w:r w:rsidRPr="00A857D3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A857D3">
        <w:rPr>
          <w:kern w:val="2"/>
          <w:sz w:val="28"/>
          <w:szCs w:val="28"/>
          <w:lang w:eastAsia="ar-SA"/>
        </w:rPr>
        <w:t>установленную численность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и деления полученного результата на 12 (количество месяцев в году) и доводится органами администрации, осуществляющими функции и полномочия учредителя муниципальных учреждений, до руководителя подведомственного учреждения, указанного в пункте 3.1 настоящего Положения.</w:t>
      </w:r>
      <w:proofErr w:type="gramEnd"/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857D3">
        <w:rPr>
          <w:kern w:val="2"/>
          <w:sz w:val="28"/>
          <w:szCs w:val="28"/>
          <w:lang w:eastAsia="ar-SA"/>
        </w:rPr>
        <w:t xml:space="preserve">Расчетный среднемесячный уровень заработной платы работников подведомственного учреждения, указанного в пункте 3.1 настоящего Положения, определяется путем деления установленного объема бюджетных </w:t>
      </w:r>
      <w:r w:rsidRPr="00A857D3">
        <w:rPr>
          <w:kern w:val="2"/>
          <w:sz w:val="28"/>
          <w:szCs w:val="28"/>
          <w:lang w:eastAsia="ar-SA"/>
        </w:rPr>
        <w:lastRenderedPageBreak/>
        <w:t>ассигнований на оплату труда работников подведомственного учреждения на численность работников подведомственного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902EBA" w:rsidRPr="008B5376" w:rsidRDefault="00902EBA" w:rsidP="00902EBA">
      <w:pPr>
        <w:ind w:firstLine="709"/>
        <w:jc w:val="both"/>
        <w:rPr>
          <w:sz w:val="28"/>
          <w:szCs w:val="28"/>
        </w:rPr>
      </w:pPr>
      <w:r w:rsidRPr="00A857D3">
        <w:rPr>
          <w:kern w:val="2"/>
          <w:sz w:val="28"/>
          <w:szCs w:val="28"/>
          <w:lang w:eastAsia="ar-SA"/>
        </w:rPr>
        <w:t>3.3. Сопоставление расчетного среднемесячного уровня оплаты труда работников подведомственных учреждений, указанных в пункте 3.1 настоящего Положения, включая работников филиалов этих учреждений (при их наличии),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органами администрации, осуществляющими функции и полномочия учредителя муниципальных учреждений</w:t>
      </w:r>
      <w:r>
        <w:rPr>
          <w:kern w:val="2"/>
          <w:sz w:val="28"/>
          <w:szCs w:val="28"/>
          <w:lang w:eastAsia="ar-SA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4. Размеры окладов (должностных окладов), ставок заработной платы работников муниципальных учреждений устанавливаются в соответствии с пункт</w:t>
      </w:r>
      <w:r w:rsidR="00BA1E74">
        <w:rPr>
          <w:sz w:val="28"/>
          <w:szCs w:val="28"/>
        </w:rPr>
        <w:t>ами</w:t>
      </w:r>
      <w:r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Pr="008B5376">
        <w:rPr>
          <w:sz w:val="28"/>
          <w:szCs w:val="28"/>
        </w:rPr>
        <w:t xml:space="preserve"> настоящего Положения руководителем муниципального 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5. </w:t>
      </w:r>
      <w:proofErr w:type="gramStart"/>
      <w:r w:rsidRPr="008B5376">
        <w:rPr>
          <w:sz w:val="28"/>
          <w:szCs w:val="28"/>
        </w:rPr>
        <w:t xml:space="preserve">Выплаты компенсационного характера работникам муниципальных учреждений устанавливаются в соответствии с </w:t>
      </w:r>
      <w:r w:rsidR="00BA1E74" w:rsidRPr="008B5376">
        <w:rPr>
          <w:sz w:val="28"/>
          <w:szCs w:val="28"/>
        </w:rPr>
        <w:t>пункт</w:t>
      </w:r>
      <w:r w:rsidR="00BA1E74">
        <w:rPr>
          <w:sz w:val="28"/>
          <w:szCs w:val="28"/>
        </w:rPr>
        <w:t>ами</w:t>
      </w:r>
      <w:r w:rsidR="00BA1E74"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="00BA1E74" w:rsidRPr="008B5376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постановлениями Правительства Ставропольского края, администрации города Невинномысска.</w:t>
      </w:r>
      <w:proofErr w:type="gramEnd"/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выплатам компенсационного характера относятся: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работникам муниципальных учреждений, занятым на работах с вредными и (или) опасными условиями труда и иными особыми условиями труда;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надбавки за работу со сведениями, составляющими государственную тайну.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6. Размеры и условия осуществления выплат стимулирующего характера работникам муниципальных учреждений устанавливаются в соответствии с </w:t>
      </w:r>
      <w:r w:rsidR="00BA1E74" w:rsidRPr="008B5376">
        <w:rPr>
          <w:sz w:val="28"/>
          <w:szCs w:val="28"/>
        </w:rPr>
        <w:t>пункт</w:t>
      </w:r>
      <w:r w:rsidR="00BA1E74">
        <w:rPr>
          <w:sz w:val="28"/>
          <w:szCs w:val="28"/>
        </w:rPr>
        <w:t>ами</w:t>
      </w:r>
      <w:r w:rsidR="00BA1E74"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Pr="008B5376">
        <w:rPr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муниципальном учреждении </w:t>
      </w:r>
      <w:r w:rsidRPr="008B5376">
        <w:rPr>
          <w:sz w:val="28"/>
          <w:szCs w:val="28"/>
        </w:rPr>
        <w:lastRenderedPageBreak/>
        <w:t xml:space="preserve">показателей и критериев </w:t>
      </w:r>
      <w:proofErr w:type="gramStart"/>
      <w:r w:rsidRPr="008B5376">
        <w:rPr>
          <w:sz w:val="28"/>
          <w:szCs w:val="28"/>
        </w:rPr>
        <w:t>оценки эффективности труда работников этих учреждений</w:t>
      </w:r>
      <w:proofErr w:type="gramEnd"/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выплатам стимулирующего характера относятся: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интенсивность и высокие результаты работы;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качество выполняемых работ;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стаж непрерывной работы, выслугу лет;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премиальные выплаты по итогам работы;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иные выплаты, установленные постановлением администрации города</w:t>
      </w:r>
      <w:r w:rsidR="009108D3">
        <w:rPr>
          <w:sz w:val="28"/>
          <w:szCs w:val="28"/>
        </w:rPr>
        <w:t xml:space="preserve"> Невинномысска</w:t>
      </w:r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Объем средств на осуществление выплат стимулирующего характера должен составлять не менее 30 процентов средств на оплату труда работников муниципальных учреждений, формируемых за счет всех финансовых источников.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7. 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управления, особенностей деятельности муниципального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Должностные оклады заместителей руководителя и главного бухгалтера муниципального учреждения устанавливаются на 10 - 30 процентов ниже должностного оклада руководителя этого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8. Выплаты компенсационного характера устанавливаются для руководителя муниципального учреждения, его заместителей и главного бухгалтера в процентах к их должностным окладам или в абсолютных размерах, если иное не установлено постановлениями Правительства Ставропольского края, администрации города Невинномысска.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9. Органы администрации, в ведении которых находятся муниципальные учреждения, устанавливают руководителям этих учреждений выплаты стимулирующего характера.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Соотношение средней заработной платы руководителей муниципальных учреждений, их заместителей, главного бухгалтера и средней заработной платы работников, формируемых за счет всех финансовых источников, рассчитывается за календарный год. Определение размера средней заработной платы руководителей муниципальных учреждений, их заместителей, главного бухгалтера и работников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lastRenderedPageBreak/>
        <w:t>Предельный уровень соотношения средней заработной платы руководителей муниципальных учреждений, их заместителей, главного бухгалтера и средней заработной платы работников этих учреждений устанавливается органом администрации, осуществляющим функции и полномочия учредителя соответствующих учреждений, в кратности от 1 до 5.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Руководителю муниципального учреждения выплаты стимулирующего характера выплачиваются по решению органа администрации, осуществляющего функции и полномочия учредителя этого учреждения,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учреждения и его руководителя.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Условия оплаты труда руководителей муниципальных учреждений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</w:t>
      </w:r>
      <w:r w:rsidR="002545EB">
        <w:rPr>
          <w:sz w:val="28"/>
          <w:szCs w:val="28"/>
        </w:rPr>
        <w:t>№</w:t>
      </w:r>
      <w:r w:rsidRPr="008B5376">
        <w:rPr>
          <w:sz w:val="28"/>
          <w:szCs w:val="28"/>
        </w:rPr>
        <w:t xml:space="preserve"> 329 </w:t>
      </w:r>
      <w:r w:rsidR="002545EB">
        <w:rPr>
          <w:sz w:val="28"/>
          <w:szCs w:val="28"/>
        </w:rPr>
        <w:t>«</w:t>
      </w:r>
      <w:r w:rsidRPr="008B5376">
        <w:rPr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2545EB">
        <w:rPr>
          <w:sz w:val="28"/>
          <w:szCs w:val="28"/>
        </w:rPr>
        <w:t>»</w:t>
      </w:r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10. Штатное расписание муниципального учреждения утверждается руководителем этого учреждения по согласованию с органом администрации, осуществляющим функции и полномочия учредителя этого учреждения, и включает в себя все должности служащих (профессии рабочих) данного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11. Органы администрации, осуществляющие функции и полномочия учредителя муниципальных учреждений,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им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 этих учреждений.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муниципальных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К вспомогательному персоналу муниципального учреждения относятся работники муниципального учреждения, создающие условия для оказания </w:t>
      </w:r>
      <w:r w:rsidRPr="008B5376">
        <w:rPr>
          <w:sz w:val="28"/>
          <w:szCs w:val="28"/>
        </w:rPr>
        <w:lastRenderedPageBreak/>
        <w:t>муниципальных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12. Фонд оплаты труда работников бюджетного и автономного учреждений формируется исходя из объема субсидий, поступающих в установленном порядке бюджетному и автономному учреждению из бюджета города Невинномысска, и средств, поступающих от приносящей доход деятельности.</w:t>
      </w:r>
    </w:p>
    <w:p w:rsidR="003E53F1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2545EB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Pr="00903DF2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Pr="00903DF2" w:rsidRDefault="002545EB" w:rsidP="0070571E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03DF2">
        <w:rPr>
          <w:rFonts w:eastAsia="Lucida Sans Unicode"/>
          <w:kern w:val="1"/>
          <w:sz w:val="28"/>
          <w:szCs w:val="28"/>
          <w:lang w:eastAsia="ar-SA"/>
        </w:rPr>
        <w:t>Первый заместитель главы</w:t>
      </w:r>
    </w:p>
    <w:p w:rsidR="002545EB" w:rsidRDefault="002545EB" w:rsidP="0070571E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03DF2">
        <w:rPr>
          <w:rFonts w:eastAsia="Lucida Sans Unicode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3E53F1" w:rsidRPr="002545EB" w:rsidRDefault="003E53F1" w:rsidP="0070571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3E53F1" w:rsidRPr="002545EB" w:rsidSect="006B205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4" w:rsidRDefault="00230F14">
      <w:r>
        <w:separator/>
      </w:r>
    </w:p>
  </w:endnote>
  <w:endnote w:type="continuationSeparator" w:id="0">
    <w:p w:rsidR="00230F14" w:rsidRDefault="002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4" w:rsidRDefault="00230F14">
      <w:r>
        <w:separator/>
      </w:r>
    </w:p>
  </w:footnote>
  <w:footnote w:type="continuationSeparator" w:id="0">
    <w:p w:rsidR="00230F14" w:rsidRDefault="0023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479019"/>
      <w:docPartObj>
        <w:docPartGallery w:val="Page Numbers (Top of Page)"/>
        <w:docPartUnique/>
      </w:docPartObj>
    </w:sdtPr>
    <w:sdtEndPr/>
    <w:sdtContent>
      <w:p w:rsidR="006B2050" w:rsidRDefault="006B2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5A">
          <w:rPr>
            <w:noProof/>
          </w:rPr>
          <w:t>6</w:t>
        </w:r>
        <w:r>
          <w:fldChar w:fldCharType="end"/>
        </w:r>
      </w:p>
    </w:sdtContent>
  </w:sdt>
  <w:p w:rsidR="0027267E" w:rsidRDefault="00230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C8"/>
    <w:rsid w:val="00230F14"/>
    <w:rsid w:val="002545EB"/>
    <w:rsid w:val="00371636"/>
    <w:rsid w:val="003E53F1"/>
    <w:rsid w:val="006B2050"/>
    <w:rsid w:val="0070571E"/>
    <w:rsid w:val="008728C8"/>
    <w:rsid w:val="00890E9B"/>
    <w:rsid w:val="008B5376"/>
    <w:rsid w:val="008E255A"/>
    <w:rsid w:val="00902EBA"/>
    <w:rsid w:val="009108D3"/>
    <w:rsid w:val="00993548"/>
    <w:rsid w:val="00B753C7"/>
    <w:rsid w:val="00B83762"/>
    <w:rsid w:val="00B86790"/>
    <w:rsid w:val="00BA1E74"/>
    <w:rsid w:val="00BF2818"/>
    <w:rsid w:val="00EF69AE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3E5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uiPriority w:val="1"/>
    <w:qFormat/>
    <w:rsid w:val="00890E9B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90E9B"/>
    <w:rPr>
      <w:rFonts w:ascii="Calibri" w:eastAsia="Times New Roman" w:hAnsi="Calibri" w:cs="Times New Roman"/>
      <w:szCs w:val="28"/>
    </w:rPr>
  </w:style>
  <w:style w:type="paragraph" w:styleId="a3">
    <w:name w:val="header"/>
    <w:basedOn w:val="a"/>
    <w:link w:val="a4"/>
    <w:uiPriority w:val="99"/>
    <w:unhideWhenUsed/>
    <w:rsid w:val="002545E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2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3E5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uiPriority w:val="1"/>
    <w:qFormat/>
    <w:rsid w:val="00890E9B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90E9B"/>
    <w:rPr>
      <w:rFonts w:ascii="Calibri" w:eastAsia="Times New Roman" w:hAnsi="Calibri" w:cs="Times New Roman"/>
      <w:szCs w:val="28"/>
    </w:rPr>
  </w:style>
  <w:style w:type="paragraph" w:styleId="a3">
    <w:name w:val="header"/>
    <w:basedOn w:val="a"/>
    <w:link w:val="a4"/>
    <w:uiPriority w:val="99"/>
    <w:unhideWhenUsed/>
    <w:rsid w:val="002545E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2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2020-01-09T14:45:00Z</dcterms:created>
  <dcterms:modified xsi:type="dcterms:W3CDTF">2020-03-19T08:49:00Z</dcterms:modified>
</cp:coreProperties>
</file>