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A2" w:rsidRDefault="00733A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3AA2" w:rsidRDefault="00733AA2">
      <w:pPr>
        <w:pStyle w:val="ConsPlusNormal"/>
        <w:ind w:firstLine="540"/>
        <w:jc w:val="both"/>
        <w:outlineLvl w:val="0"/>
      </w:pPr>
    </w:p>
    <w:p w:rsidR="00733AA2" w:rsidRDefault="00733A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3AA2" w:rsidRDefault="00733AA2">
      <w:pPr>
        <w:pStyle w:val="ConsPlusTitle"/>
        <w:jc w:val="center"/>
      </w:pPr>
    </w:p>
    <w:p w:rsidR="00733AA2" w:rsidRDefault="00733AA2">
      <w:pPr>
        <w:pStyle w:val="ConsPlusTitle"/>
        <w:jc w:val="center"/>
      </w:pPr>
      <w:r>
        <w:t>РАСПОРЯЖЕНИЕ</w:t>
      </w:r>
    </w:p>
    <w:p w:rsidR="00733AA2" w:rsidRDefault="00733AA2">
      <w:pPr>
        <w:pStyle w:val="ConsPlusTitle"/>
        <w:jc w:val="center"/>
      </w:pPr>
      <w:r>
        <w:t>от 17 апреля 2019 г. N 768-р</w:t>
      </w:r>
    </w:p>
    <w:p w:rsidR="00733AA2" w:rsidRDefault="00733AA2">
      <w:pPr>
        <w:pStyle w:val="ConsPlusNormal"/>
        <w:jc w:val="center"/>
      </w:pPr>
    </w:p>
    <w:p w:rsidR="00733AA2" w:rsidRDefault="00733AA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2. Рекомендовать: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4. Минэкономразвития России: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r>
        <w:lastRenderedPageBreak/>
        <w:t>5. Признать утратившими силу:</w:t>
      </w:r>
    </w:p>
    <w:p w:rsidR="00733AA2" w:rsidRDefault="00733AA2">
      <w:pPr>
        <w:pStyle w:val="ConsPlusNormal"/>
        <w:spacing w:before="24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733AA2" w:rsidRDefault="00733AA2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733AA2" w:rsidRDefault="00733AA2">
      <w:pPr>
        <w:pStyle w:val="ConsPlusNormal"/>
        <w:ind w:firstLine="540"/>
        <w:jc w:val="both"/>
      </w:pPr>
    </w:p>
    <w:p w:rsidR="00733AA2" w:rsidRDefault="00733AA2">
      <w:pPr>
        <w:pStyle w:val="ConsPlusNormal"/>
        <w:jc w:val="right"/>
      </w:pPr>
      <w:r>
        <w:t>Председатель Правительства</w:t>
      </w:r>
    </w:p>
    <w:p w:rsidR="00733AA2" w:rsidRDefault="00733AA2">
      <w:pPr>
        <w:pStyle w:val="ConsPlusNormal"/>
        <w:jc w:val="right"/>
      </w:pPr>
      <w:r>
        <w:t>Российской Федерации</w:t>
      </w:r>
    </w:p>
    <w:p w:rsidR="00733AA2" w:rsidRDefault="00733AA2">
      <w:pPr>
        <w:pStyle w:val="ConsPlusNormal"/>
        <w:jc w:val="right"/>
      </w:pPr>
      <w:r>
        <w:t>Д.МЕДВЕДЕВ</w:t>
      </w:r>
    </w:p>
    <w:p w:rsidR="00733AA2" w:rsidRDefault="00733AA2">
      <w:pPr>
        <w:pStyle w:val="ConsPlusNormal"/>
        <w:ind w:firstLine="540"/>
        <w:jc w:val="both"/>
      </w:pPr>
    </w:p>
    <w:p w:rsidR="00733AA2" w:rsidRDefault="00733AA2">
      <w:pPr>
        <w:pStyle w:val="ConsPlusNormal"/>
        <w:ind w:firstLine="540"/>
        <w:jc w:val="both"/>
      </w:pPr>
    </w:p>
    <w:p w:rsidR="00733AA2" w:rsidRDefault="00733AA2">
      <w:pPr>
        <w:pStyle w:val="ConsPlusNormal"/>
        <w:ind w:firstLine="540"/>
        <w:jc w:val="both"/>
      </w:pPr>
    </w:p>
    <w:p w:rsidR="00733AA2" w:rsidRDefault="00733AA2">
      <w:pPr>
        <w:pStyle w:val="ConsPlusNormal"/>
        <w:ind w:firstLine="540"/>
        <w:jc w:val="both"/>
      </w:pPr>
    </w:p>
    <w:p w:rsidR="00733AA2" w:rsidRDefault="00733AA2">
      <w:pPr>
        <w:pStyle w:val="ConsPlusNormal"/>
        <w:ind w:firstLine="540"/>
        <w:jc w:val="both"/>
      </w:pPr>
    </w:p>
    <w:p w:rsidR="00733AA2" w:rsidRDefault="00733AA2">
      <w:pPr>
        <w:pStyle w:val="ConsPlusNormal"/>
        <w:jc w:val="right"/>
        <w:outlineLvl w:val="0"/>
      </w:pPr>
      <w:r>
        <w:t>Утвержден</w:t>
      </w:r>
    </w:p>
    <w:p w:rsidR="00733AA2" w:rsidRDefault="00733AA2">
      <w:pPr>
        <w:pStyle w:val="ConsPlusNormal"/>
        <w:jc w:val="right"/>
      </w:pPr>
      <w:r>
        <w:t>распоряжением Правительства</w:t>
      </w:r>
    </w:p>
    <w:p w:rsidR="00733AA2" w:rsidRDefault="00733AA2">
      <w:pPr>
        <w:pStyle w:val="ConsPlusNormal"/>
        <w:jc w:val="right"/>
      </w:pPr>
      <w:r>
        <w:t>Российской Федерации</w:t>
      </w:r>
    </w:p>
    <w:p w:rsidR="00733AA2" w:rsidRDefault="00733AA2">
      <w:pPr>
        <w:pStyle w:val="ConsPlusNormal"/>
        <w:jc w:val="right"/>
      </w:pPr>
      <w:r>
        <w:t>от 17 апреля 2019 г. N 768-р</w:t>
      </w:r>
    </w:p>
    <w:p w:rsidR="00733AA2" w:rsidRDefault="00733AA2">
      <w:pPr>
        <w:pStyle w:val="ConsPlusNormal"/>
        <w:jc w:val="center"/>
      </w:pPr>
    </w:p>
    <w:p w:rsidR="00733AA2" w:rsidRDefault="00733AA2">
      <w:pPr>
        <w:pStyle w:val="ConsPlusTitle"/>
        <w:jc w:val="center"/>
      </w:pPr>
      <w:bookmarkStart w:id="0" w:name="P32"/>
      <w:bookmarkEnd w:id="0"/>
      <w:r>
        <w:t>СТАНДАРТ</w:t>
      </w:r>
    </w:p>
    <w:p w:rsidR="00733AA2" w:rsidRDefault="00733AA2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733AA2" w:rsidRDefault="00733AA2">
      <w:pPr>
        <w:pStyle w:val="ConsPlusNormal"/>
        <w:jc w:val="center"/>
      </w:pPr>
    </w:p>
    <w:p w:rsidR="00733AA2" w:rsidRDefault="00733AA2">
      <w:pPr>
        <w:pStyle w:val="ConsPlusTitle"/>
        <w:jc w:val="center"/>
        <w:outlineLvl w:val="1"/>
      </w:pPr>
      <w:r>
        <w:t>I. Общие положения</w:t>
      </w:r>
    </w:p>
    <w:p w:rsidR="00733AA2" w:rsidRDefault="00733AA2">
      <w:pPr>
        <w:pStyle w:val="ConsPlusNormal"/>
        <w:jc w:val="center"/>
      </w:pPr>
    </w:p>
    <w:p w:rsidR="00733AA2" w:rsidRDefault="00733AA2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2. Целями стандарта являются: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а) установление системного и единообразного подхода к осуществлению </w:t>
      </w:r>
      <w:r>
        <w:lastRenderedPageBreak/>
        <w:t>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 xml:space="preserve">Под товарным рынком в стандарте понимается сфера обращения товара, работы, услуги, которые не могут быть заменены </w:t>
      </w:r>
      <w:r>
        <w:lastRenderedPageBreak/>
        <w:t>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r>
        <w:t>3. Принципами внедрения стандарта являются: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д) прозрачность деятельности - содействие органов исполнительной власти </w:t>
      </w:r>
      <w:r>
        <w:lastRenderedPageBreak/>
        <w:t>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733AA2" w:rsidRDefault="00733AA2">
      <w:pPr>
        <w:pStyle w:val="ConsPlusNormal"/>
        <w:jc w:val="center"/>
      </w:pPr>
    </w:p>
    <w:p w:rsidR="00733AA2" w:rsidRDefault="00733AA2">
      <w:pPr>
        <w:pStyle w:val="ConsPlusTitle"/>
        <w:jc w:val="center"/>
        <w:outlineLvl w:val="1"/>
      </w:pPr>
      <w:r>
        <w:lastRenderedPageBreak/>
        <w:t>II. Определение уполномоченного органа</w:t>
      </w:r>
    </w:p>
    <w:p w:rsidR="00733AA2" w:rsidRDefault="00733AA2">
      <w:pPr>
        <w:pStyle w:val="ConsPlusNormal"/>
        <w:ind w:firstLine="540"/>
        <w:jc w:val="both"/>
      </w:pPr>
    </w:p>
    <w:p w:rsidR="00733AA2" w:rsidRDefault="00733AA2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10. Уполномоченный орган осуществляет следующие полномочия: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проектами;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lastRenderedPageBreak/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</w:t>
      </w:r>
      <w:r>
        <w:lastRenderedPageBreak/>
        <w:t>экономической деятельности информации о решениях и мероприятиях, оказывающих воздействие на конкуренцию;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733AA2" w:rsidRDefault="00733AA2">
      <w:pPr>
        <w:pStyle w:val="ConsPlusNormal"/>
        <w:ind w:firstLine="540"/>
        <w:jc w:val="both"/>
      </w:pPr>
    </w:p>
    <w:p w:rsidR="00733AA2" w:rsidRDefault="00733AA2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733AA2" w:rsidRDefault="00733AA2">
      <w:pPr>
        <w:pStyle w:val="ConsPlusTitle"/>
        <w:jc w:val="center"/>
      </w:pPr>
      <w:r>
        <w:t>на заседаниях коллегиального органа</w:t>
      </w:r>
    </w:p>
    <w:p w:rsidR="00733AA2" w:rsidRDefault="00733AA2">
      <w:pPr>
        <w:pStyle w:val="ConsPlusNormal"/>
        <w:jc w:val="center"/>
      </w:pPr>
    </w:p>
    <w:p w:rsidR="00733AA2" w:rsidRDefault="00733AA2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г) результаты и анализ результатов мониторинга.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733AA2" w:rsidRDefault="00733AA2">
      <w:pPr>
        <w:pStyle w:val="ConsPlusNormal"/>
        <w:spacing w:before="24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lastRenderedPageBreak/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</w:t>
      </w:r>
      <w:r>
        <w:lastRenderedPageBreak/>
        <w:t>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733AA2" w:rsidRDefault="00733AA2">
      <w:pPr>
        <w:pStyle w:val="ConsPlusNormal"/>
        <w:jc w:val="center"/>
      </w:pPr>
    </w:p>
    <w:p w:rsidR="00733AA2" w:rsidRDefault="00733AA2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733AA2" w:rsidRDefault="00733AA2">
      <w:pPr>
        <w:pStyle w:val="ConsPlusNormal"/>
        <w:jc w:val="center"/>
      </w:pPr>
    </w:p>
    <w:p w:rsidR="00733AA2" w:rsidRDefault="00733AA2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субъектами Российской Федерации самостоятельно с учетом специфики социально-экономического развития.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 xml:space="preserve"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</w:t>
      </w:r>
      <w:r>
        <w:lastRenderedPageBreak/>
        <w:t>учреждений Центрального банка Российской Федерации (при ее наличии);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25. Проект перечня товарных рынков рассматривается на заседании </w:t>
      </w:r>
      <w:r>
        <w:lastRenderedPageBreak/>
        <w:t>коллегиального органа, одобряется им и выносится на утверждение высшего должностного лица.</w:t>
      </w:r>
    </w:p>
    <w:p w:rsidR="00733AA2" w:rsidRDefault="00733AA2">
      <w:pPr>
        <w:pStyle w:val="ConsPlusNormal"/>
        <w:jc w:val="center"/>
      </w:pPr>
    </w:p>
    <w:p w:rsidR="00733AA2" w:rsidRDefault="00733AA2">
      <w:pPr>
        <w:pStyle w:val="ConsPlusTitle"/>
        <w:jc w:val="center"/>
        <w:outlineLvl w:val="1"/>
      </w:pPr>
      <w:r>
        <w:t>V. Разработка "дорожной карты"</w:t>
      </w:r>
    </w:p>
    <w:p w:rsidR="00733AA2" w:rsidRDefault="00733AA2">
      <w:pPr>
        <w:pStyle w:val="ConsPlusNormal"/>
        <w:jc w:val="center"/>
      </w:pPr>
    </w:p>
    <w:p w:rsidR="00733AA2" w:rsidRDefault="00733AA2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территориальных учреждений Центрального банка Российской Федерации и иных источников информации.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lastRenderedPageBreak/>
        <w:t>г) обеспечение ресурсов и информации, необходимых для поддержания этих процессов и их мониторинга;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lastRenderedPageBreak/>
        <w:t>прирост объема закупок у субъектов малого и среднего предпринимательства;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</w:t>
      </w:r>
      <w:r>
        <w:lastRenderedPageBreak/>
        <w:t>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создание условий, в соответствии с которыми указанные хозяйствующие субъекты при допуске к участию в закупках товаров, работ, услуг для обеспечения </w:t>
      </w:r>
      <w:r>
        <w:lastRenderedPageBreak/>
        <w:t>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lastRenderedPageBreak/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м) на повышение в субъекте Российской Федерации цифровой грамотности населения, государственных гражданских служащих и работников бюджетной сферы в рамках соответствующей региональной программы;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р) на содействие развитию и поддержке междисциплинарных исследований, </w:t>
      </w:r>
      <w:r>
        <w:lastRenderedPageBreak/>
        <w:t>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r>
        <w:t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Российской Федерации;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lastRenderedPageBreak/>
        <w:t>ц) на повышение доступности финансовых услуг для субъектов экономической деятельности;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31. "Дорожная карта" должна содержать следующую информацию: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lastRenderedPageBreak/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35. </w:t>
      </w:r>
      <w:proofErr w:type="gramStart"/>
      <w:r>
        <w:t xml:space="preserve">Каждому органу исполнительной власти субъекта Российской Федерации и каждому органу местного самоуправления, являющимся ответственными за </w:t>
      </w:r>
      <w:r>
        <w:lastRenderedPageBreak/>
        <w:t>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733AA2" w:rsidRDefault="00733AA2">
      <w:pPr>
        <w:pStyle w:val="ConsPlusNormal"/>
        <w:jc w:val="center"/>
      </w:pPr>
    </w:p>
    <w:p w:rsidR="00733AA2" w:rsidRDefault="00733AA2">
      <w:pPr>
        <w:pStyle w:val="ConsPlusTitle"/>
        <w:jc w:val="center"/>
        <w:outlineLvl w:val="1"/>
      </w:pPr>
      <w:r>
        <w:t>VI. Проведение мониторинга</w:t>
      </w:r>
    </w:p>
    <w:p w:rsidR="00733AA2" w:rsidRDefault="00733AA2">
      <w:pPr>
        <w:pStyle w:val="ConsPlusNormal"/>
        <w:jc w:val="center"/>
      </w:pPr>
    </w:p>
    <w:p w:rsidR="00733AA2" w:rsidRDefault="00733AA2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733AA2" w:rsidRDefault="00733AA2">
      <w:pPr>
        <w:pStyle w:val="ConsPlusNormal"/>
        <w:spacing w:before="24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lastRenderedPageBreak/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 и не позже 3 лет до начала сбора указанных данных;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 xml:space="preserve"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</w:t>
      </w:r>
      <w:r>
        <w:lastRenderedPageBreak/>
        <w:t>Федерации, имеющих с ним общие территориальные границы;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</w:t>
      </w:r>
      <w:r>
        <w:lastRenderedPageBreak/>
        <w:t xml:space="preserve">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</w:t>
      </w:r>
      <w:r>
        <w:lastRenderedPageBreak/>
        <w:t>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</w:t>
      </w:r>
      <w:r>
        <w:lastRenderedPageBreak/>
        <w:t>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</w:t>
      </w:r>
      <w:r>
        <w:lastRenderedPageBreak/>
        <w:t>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lastRenderedPageBreak/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733AA2" w:rsidRDefault="00733AA2">
      <w:pPr>
        <w:pStyle w:val="ConsPlusNormal"/>
        <w:spacing w:before="24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а) данные по ожидаемому потребителями темпу роста цен;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lastRenderedPageBreak/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продвижению новых проектов" утверждает единую </w:t>
      </w:r>
      <w:hyperlink r:id="rId16" w:history="1">
        <w:r>
          <w:rPr>
            <w:color w:val="0000FF"/>
          </w:rPr>
          <w:t>методику</w:t>
        </w:r>
      </w:hyperlink>
      <w:r>
        <w:t xml:space="preserve"> мониторинга.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г) иные критерии.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44. </w:t>
      </w:r>
      <w:proofErr w:type="gramStart"/>
      <w:r>
        <w:t xml:space="preserve"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</w:t>
      </w:r>
      <w:r>
        <w:lastRenderedPageBreak/>
        <w:t>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удобства </w:t>
      </w:r>
      <w:r>
        <w:lastRenderedPageBreak/>
        <w:t>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доли достигнутых показателей в общем количестве показателей;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доли выполненных мероприятий в общем количестве мероприятий;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48. Доклад направляется ежегодно, до 10 марта года, следующего за </w:t>
      </w:r>
      <w:r>
        <w:lastRenderedPageBreak/>
        <w:t>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733AA2" w:rsidRDefault="00733AA2">
      <w:pPr>
        <w:pStyle w:val="ConsPlusNormal"/>
        <w:ind w:firstLine="540"/>
        <w:jc w:val="both"/>
      </w:pPr>
    </w:p>
    <w:p w:rsidR="00733AA2" w:rsidRDefault="00733AA2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733AA2" w:rsidRDefault="00733AA2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733AA2" w:rsidRDefault="00733AA2">
      <w:pPr>
        <w:pStyle w:val="ConsPlusNormal"/>
        <w:ind w:firstLine="540"/>
        <w:jc w:val="both"/>
      </w:pPr>
    </w:p>
    <w:p w:rsidR="00733AA2" w:rsidRDefault="00733AA2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7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В рамках указанных механизмов обеспечивается учет мнения потребителей товаров, работ, услуг субъектов естественных монополий при осуществлении </w:t>
      </w:r>
      <w:r>
        <w:lastRenderedPageBreak/>
        <w:t>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</w:t>
      </w:r>
      <w:r>
        <w:lastRenderedPageBreak/>
        <w:t>проектов с государственным участием.</w:t>
      </w:r>
    </w:p>
    <w:p w:rsidR="00733AA2" w:rsidRDefault="00733AA2">
      <w:pPr>
        <w:pStyle w:val="ConsPlusNormal"/>
        <w:spacing w:before="24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</w:t>
      </w:r>
      <w:r>
        <w:lastRenderedPageBreak/>
        <w:t>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 xml:space="preserve"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</w:t>
      </w:r>
      <w:r>
        <w:lastRenderedPageBreak/>
        <w:t>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733AA2" w:rsidRDefault="00733AA2">
      <w:pPr>
        <w:pStyle w:val="ConsPlusNormal"/>
        <w:jc w:val="center"/>
      </w:pPr>
    </w:p>
    <w:p w:rsidR="00733AA2" w:rsidRDefault="00733AA2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733AA2" w:rsidRDefault="00733AA2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733AA2" w:rsidRDefault="00733AA2">
      <w:pPr>
        <w:pStyle w:val="ConsPlusTitle"/>
        <w:jc w:val="center"/>
      </w:pPr>
      <w:r>
        <w:t>работ, услуг о состоянии конкуренции и деятельности</w:t>
      </w:r>
    </w:p>
    <w:p w:rsidR="00733AA2" w:rsidRDefault="00733AA2">
      <w:pPr>
        <w:pStyle w:val="ConsPlusTitle"/>
        <w:jc w:val="center"/>
      </w:pPr>
      <w:r>
        <w:t>по содействию развитию конкуренции</w:t>
      </w:r>
    </w:p>
    <w:p w:rsidR="00733AA2" w:rsidRDefault="00733AA2">
      <w:pPr>
        <w:pStyle w:val="ConsPlusNormal"/>
        <w:jc w:val="center"/>
      </w:pPr>
    </w:p>
    <w:p w:rsidR="00733AA2" w:rsidRDefault="00733AA2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 xml:space="preserve">На официальном сайте уполномоченного органа в сети "Интернет" и интернет-портале об инвестиционной деятельности в субъекте Российской </w:t>
      </w:r>
      <w:r>
        <w:lastRenderedPageBreak/>
        <w:t>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733AA2" w:rsidRDefault="00733AA2">
      <w:pPr>
        <w:pStyle w:val="ConsPlusNormal"/>
        <w:spacing w:before="24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733AA2" w:rsidRDefault="00733AA2">
      <w:pPr>
        <w:pStyle w:val="ConsPlusNormal"/>
        <w:spacing w:before="24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733AA2" w:rsidRDefault="00733AA2">
      <w:pPr>
        <w:pStyle w:val="ConsPlusNormal"/>
        <w:spacing w:before="24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</w:t>
      </w:r>
      <w:r>
        <w:lastRenderedPageBreak/>
        <w:t>ключевых показателей развития конкуренции и внедрения стандарта.</w:t>
      </w:r>
    </w:p>
    <w:p w:rsidR="00733AA2" w:rsidRDefault="00733AA2">
      <w:pPr>
        <w:pStyle w:val="ConsPlusNormal"/>
        <w:ind w:firstLine="540"/>
        <w:jc w:val="both"/>
      </w:pPr>
    </w:p>
    <w:p w:rsidR="00733AA2" w:rsidRDefault="00733AA2">
      <w:pPr>
        <w:pStyle w:val="ConsPlusNormal"/>
        <w:ind w:firstLine="540"/>
        <w:jc w:val="both"/>
      </w:pPr>
    </w:p>
    <w:p w:rsidR="00733AA2" w:rsidRDefault="00733AA2">
      <w:pPr>
        <w:pStyle w:val="ConsPlusNormal"/>
        <w:ind w:firstLine="540"/>
        <w:jc w:val="both"/>
      </w:pPr>
    </w:p>
    <w:p w:rsidR="00733AA2" w:rsidRDefault="00733AA2">
      <w:pPr>
        <w:pStyle w:val="ConsPlusNormal"/>
        <w:ind w:firstLine="540"/>
        <w:jc w:val="both"/>
      </w:pPr>
    </w:p>
    <w:p w:rsidR="00733AA2" w:rsidRDefault="00733AA2">
      <w:pPr>
        <w:pStyle w:val="ConsPlusNormal"/>
        <w:ind w:firstLine="540"/>
        <w:jc w:val="both"/>
      </w:pPr>
    </w:p>
    <w:p w:rsidR="00733AA2" w:rsidRDefault="00733AA2">
      <w:pPr>
        <w:pStyle w:val="ConsPlusNormal"/>
        <w:jc w:val="right"/>
        <w:outlineLvl w:val="1"/>
      </w:pPr>
      <w:r>
        <w:t>Приложение</w:t>
      </w:r>
    </w:p>
    <w:p w:rsidR="00733AA2" w:rsidRDefault="00733AA2">
      <w:pPr>
        <w:pStyle w:val="ConsPlusNormal"/>
        <w:jc w:val="right"/>
      </w:pPr>
      <w:r>
        <w:t>к стандарту развития конкуренции</w:t>
      </w:r>
    </w:p>
    <w:p w:rsidR="00733AA2" w:rsidRDefault="00733AA2">
      <w:pPr>
        <w:pStyle w:val="ConsPlusNormal"/>
        <w:jc w:val="right"/>
      </w:pPr>
      <w:r>
        <w:t>в субъектах Российской Федерации</w:t>
      </w:r>
    </w:p>
    <w:p w:rsidR="00733AA2" w:rsidRDefault="00733AA2">
      <w:pPr>
        <w:pStyle w:val="ConsPlusNormal"/>
        <w:jc w:val="center"/>
      </w:pPr>
    </w:p>
    <w:p w:rsidR="00733AA2" w:rsidRDefault="00733AA2">
      <w:pPr>
        <w:pStyle w:val="ConsPlusTitle"/>
        <w:jc w:val="center"/>
      </w:pPr>
      <w:bookmarkStart w:id="5" w:name="P323"/>
      <w:bookmarkEnd w:id="5"/>
      <w:r>
        <w:t>ПЕРЕЧЕНЬ</w:t>
      </w:r>
    </w:p>
    <w:p w:rsidR="00733AA2" w:rsidRDefault="00733AA2">
      <w:pPr>
        <w:pStyle w:val="ConsPlusTitle"/>
        <w:jc w:val="center"/>
      </w:pPr>
      <w:r>
        <w:t>ТОВАРНЫХ РЫНКОВ ДЛЯ СОДЕЙСТВИЯ РАЗВИТИЮ КОНКУРЕНЦИИ</w:t>
      </w:r>
    </w:p>
    <w:p w:rsidR="00733AA2" w:rsidRDefault="00733AA2">
      <w:pPr>
        <w:pStyle w:val="ConsPlusTitle"/>
        <w:jc w:val="center"/>
      </w:pPr>
      <w:r>
        <w:t>В СУБЪЕКТЕ РОССИЙСКОЙ ФЕДЕРАЦИИ</w:t>
      </w:r>
    </w:p>
    <w:p w:rsidR="00733AA2" w:rsidRDefault="00733A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4535"/>
        <w:gridCol w:w="1870"/>
      </w:tblGrid>
      <w:tr w:rsidR="00733AA2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3AA2" w:rsidRDefault="00733AA2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33AA2" w:rsidRDefault="00733AA2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733AA2" w:rsidRDefault="00733AA2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</w:t>
            </w:r>
            <w:r>
              <w:lastRenderedPageBreak/>
              <w:t>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lastRenderedPageBreak/>
              <w:t>1,6, но не менее 1 частной организации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5, но не менее 1 частной организации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 xml:space="preserve">Рынок услуг </w:t>
            </w:r>
            <w:r>
              <w:lastRenderedPageBreak/>
              <w:t>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10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60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3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spacing w:after="1" w:line="0" w:lineRule="atLeas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 xml:space="preserve">доля детей с ограниченными возможностями здоровья (в возрасте до 3 лет), получающих услуги ранней диагностики, социализации и </w:t>
            </w:r>
            <w:r>
              <w:lastRenderedPageBreak/>
              <w:t>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10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ритуальных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 xml:space="preserve">Рынок выполнения работ по благоустройству </w:t>
            </w:r>
            <w:r>
              <w:lastRenderedPageBreak/>
              <w:t>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lastRenderedPageBreak/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50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30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</w:t>
            </w:r>
            <w:r>
              <w:lastRenderedPageBreak/>
              <w:t>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lastRenderedPageBreak/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</w:t>
            </w:r>
            <w:r>
              <w:lastRenderedPageBreak/>
              <w:t>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lastRenderedPageBreak/>
              <w:t>30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30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 xml:space="preserve">Рынок оказания услуг по перевозке </w:t>
            </w:r>
            <w:r>
              <w:lastRenderedPageBreak/>
              <w:t>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lastRenderedPageBreak/>
              <w:t xml:space="preserve">доля организаций частной формы собственности в сфере оказания услуг по перевозке пассажиров и багажа </w:t>
            </w:r>
            <w:r>
              <w:lastRenderedPageBreak/>
              <w:t>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lastRenderedPageBreak/>
              <w:t>70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40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spacing w:after="1" w:line="0" w:lineRule="atLeas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98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80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80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80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80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80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5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 xml:space="preserve">Рынок лабораторных исследований </w:t>
            </w:r>
            <w:r>
              <w:lastRenderedPageBreak/>
              <w:t>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lastRenderedPageBreak/>
              <w:t xml:space="preserve">доля организаций частной формы собственности в сфере лабораторных исследований для выдачи </w:t>
            </w:r>
            <w:r>
              <w:lastRenderedPageBreak/>
              <w:t>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20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80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80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80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80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90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70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70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70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70</w:t>
            </w:r>
          </w:p>
        </w:tc>
      </w:tr>
      <w:tr w:rsidR="00733AA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AA2" w:rsidRDefault="00733AA2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AA2" w:rsidRDefault="00733AA2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AA2" w:rsidRDefault="00733AA2">
            <w:pPr>
              <w:pStyle w:val="ConsPlusNormal"/>
              <w:jc w:val="center"/>
            </w:pPr>
            <w:r>
              <w:t>100</w:t>
            </w:r>
          </w:p>
        </w:tc>
      </w:tr>
    </w:tbl>
    <w:p w:rsidR="00733AA2" w:rsidRDefault="00733AA2">
      <w:pPr>
        <w:pStyle w:val="ConsPlusNormal"/>
        <w:jc w:val="both"/>
      </w:pPr>
    </w:p>
    <w:p w:rsidR="00733AA2" w:rsidRDefault="00733AA2">
      <w:pPr>
        <w:pStyle w:val="ConsPlusNormal"/>
        <w:jc w:val="both"/>
      </w:pPr>
    </w:p>
    <w:p w:rsidR="00733AA2" w:rsidRDefault="00733A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37E" w:rsidRDefault="007E537E">
      <w:bookmarkStart w:id="6" w:name="_GoBack"/>
      <w:bookmarkEnd w:id="6"/>
    </w:p>
    <w:sectPr w:rsidR="007E537E" w:rsidSect="00B4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A2"/>
    <w:rsid w:val="002815C7"/>
    <w:rsid w:val="00733AA2"/>
    <w:rsid w:val="007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C7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AA2"/>
    <w:pPr>
      <w:widowControl w:val="0"/>
      <w:autoSpaceDE w:val="0"/>
      <w:autoSpaceDN w:val="0"/>
      <w:spacing w:after="0" w:line="240" w:lineRule="auto"/>
    </w:pPr>
    <w:rPr>
      <w:rFonts w:eastAsia="Times New Roman" w:cs="Arial Unicode MS"/>
      <w:sz w:val="24"/>
      <w:szCs w:val="20"/>
      <w:lang w:eastAsia="ru-RU"/>
    </w:rPr>
  </w:style>
  <w:style w:type="paragraph" w:customStyle="1" w:styleId="ConsPlusTitle">
    <w:name w:val="ConsPlusTitle"/>
    <w:rsid w:val="00733AA2"/>
    <w:pPr>
      <w:widowControl w:val="0"/>
      <w:autoSpaceDE w:val="0"/>
      <w:autoSpaceDN w:val="0"/>
      <w:spacing w:after="0" w:line="240" w:lineRule="auto"/>
    </w:pPr>
    <w:rPr>
      <w:rFonts w:eastAsia="Times New Roman" w:cs="Arial Unicode MS"/>
      <w:b/>
      <w:sz w:val="24"/>
      <w:szCs w:val="20"/>
      <w:lang w:eastAsia="ru-RU"/>
    </w:rPr>
  </w:style>
  <w:style w:type="paragraph" w:customStyle="1" w:styleId="ConsPlusTitlePage">
    <w:name w:val="ConsPlusTitlePage"/>
    <w:rsid w:val="00733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C7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AA2"/>
    <w:pPr>
      <w:widowControl w:val="0"/>
      <w:autoSpaceDE w:val="0"/>
      <w:autoSpaceDN w:val="0"/>
      <w:spacing w:after="0" w:line="240" w:lineRule="auto"/>
    </w:pPr>
    <w:rPr>
      <w:rFonts w:eastAsia="Times New Roman" w:cs="Arial Unicode MS"/>
      <w:sz w:val="24"/>
      <w:szCs w:val="20"/>
      <w:lang w:eastAsia="ru-RU"/>
    </w:rPr>
  </w:style>
  <w:style w:type="paragraph" w:customStyle="1" w:styleId="ConsPlusTitle">
    <w:name w:val="ConsPlusTitle"/>
    <w:rsid w:val="00733AA2"/>
    <w:pPr>
      <w:widowControl w:val="0"/>
      <w:autoSpaceDE w:val="0"/>
      <w:autoSpaceDN w:val="0"/>
      <w:spacing w:after="0" w:line="240" w:lineRule="auto"/>
    </w:pPr>
    <w:rPr>
      <w:rFonts w:eastAsia="Times New Roman" w:cs="Arial Unicode MS"/>
      <w:b/>
      <w:sz w:val="24"/>
      <w:szCs w:val="20"/>
      <w:lang w:eastAsia="ru-RU"/>
    </w:rPr>
  </w:style>
  <w:style w:type="paragraph" w:customStyle="1" w:styleId="ConsPlusTitlePage">
    <w:name w:val="ConsPlusTitlePage"/>
    <w:rsid w:val="00733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9F94B721A7DF51C8B79FE3572A78F625599383E4B7CC72EC7B5316F28E36FA52BB3B2825D78CACF0490D70AC894A34ADFB652DA4AB0BC27i9I" TargetMode="External"/><Relationship Id="rId13" Type="http://schemas.openxmlformats.org/officeDocument/2006/relationships/hyperlink" Target="consultantplus://offline/ref=24C9F94B721A7DF51C8B79FE3572A78F645D9937344F7CC72EC7B5316F28E36FB72BEBBE805C66C9C511C6864C29i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C9F94B721A7DF51C8B79FE3572A78F625D983734457CC72EC7B5316F28E36FB72BEBBE805C66C9C511C6864C29iFI" TargetMode="External"/><Relationship Id="rId12" Type="http://schemas.openxmlformats.org/officeDocument/2006/relationships/hyperlink" Target="consultantplus://offline/ref=24C9F94B721A7DF51C8B79FE3572A78F645D9937344F7CC72EC7B5316F28E36FB72BEBBE805C66C9C511C6864C29iFI" TargetMode="External"/><Relationship Id="rId17" Type="http://schemas.openxmlformats.org/officeDocument/2006/relationships/hyperlink" Target="consultantplus://offline/ref=24C9F94B721A7DF51C8B79FE3572A78F625D983D304A7CC72EC7B5316F28E36FA52BB3B2825D78C8C40490D70AC894A34ADFB652DA4AB0BC27i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C9F94B721A7DF51C8B79FE3572A78F63599B3632447CC72EC7B5316F28E36FA52BB3B2825D78C9CF0490D70AC894A34ADFB652DA4AB0BC27i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9F94B721A7DF51C8B79FE3572A78F625D98373F4B7CC72EC7B5316F28E36FB72BEBBE805C66C9C511C6864C29iFI" TargetMode="External"/><Relationship Id="rId11" Type="http://schemas.openxmlformats.org/officeDocument/2006/relationships/hyperlink" Target="consultantplus://offline/ref=24C9F94B721A7DF51C8B79FE3572A78F63559536304C7CC72EC7B5316F28E36FA52BB3B2825D79CCC40490D70AC894A34ADFB652DA4AB0BC27i9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4C9F94B721A7DF51C8B79FE3572A78F635A9F3F33497CC72EC7B5316F28E36FA52BB3B2825D78C8CF0490D70AC894A34ADFB652DA4AB0BC27i9I" TargetMode="External"/><Relationship Id="rId10" Type="http://schemas.openxmlformats.org/officeDocument/2006/relationships/hyperlink" Target="consultantplus://offline/ref=24C9F94B721A7DF51C8B79FE3572A78F63559536304C7CC72EC7B5316F28E36FA52BB3B0875F739D964B918B4C9C87A149DFB450C624iA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C9F94B721A7DF51C8B79FE3572A78F625599383E4B7CC72EC7B5316F28E36FA52BB3B2825D78CDC50490D70AC894A34ADFB652DA4AB0BC27i9I" TargetMode="External"/><Relationship Id="rId14" Type="http://schemas.openxmlformats.org/officeDocument/2006/relationships/hyperlink" Target="consultantplus://offline/ref=24C9F94B721A7DF51C8B79FE3572A78F625A9436374E7CC72EC7B5316F28E36FA52BB3B2825D78C8C60490D70AC894A34ADFB652DA4AB0BC27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12744</Words>
  <Characters>72646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Кузнецова</dc:creator>
  <cp:lastModifiedBy>Анна В. Кузнецова</cp:lastModifiedBy>
  <cp:revision>1</cp:revision>
  <dcterms:created xsi:type="dcterms:W3CDTF">2022-02-21T08:34:00Z</dcterms:created>
  <dcterms:modified xsi:type="dcterms:W3CDTF">2022-02-21T08:35:00Z</dcterms:modified>
</cp:coreProperties>
</file>