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55299A">
        <w:rPr>
          <w:szCs w:val="24"/>
          <w:lang w:val="ru-RU"/>
        </w:rPr>
        <w:t>11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0269F0">
        <w:rPr>
          <w:szCs w:val="24"/>
          <w:lang w:val="ru-RU"/>
        </w:rPr>
        <w:t>13.08.2020 № 1258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0269F0">
        <w:rPr>
          <w:b/>
          <w:szCs w:val="24"/>
          <w:lang w:val="ru-RU"/>
        </w:rPr>
        <w:t>1</w:t>
      </w:r>
      <w:r w:rsidR="00C577AA">
        <w:rPr>
          <w:b/>
          <w:szCs w:val="24"/>
          <w:lang w:val="ru-RU"/>
        </w:rPr>
        <w:t>4</w:t>
      </w:r>
      <w:r w:rsidR="002F240E">
        <w:rPr>
          <w:b/>
          <w:szCs w:val="24"/>
          <w:lang w:val="ru-RU"/>
        </w:rPr>
        <w:t>.</w:t>
      </w:r>
      <w:r w:rsidR="000269F0">
        <w:rPr>
          <w:b/>
          <w:szCs w:val="24"/>
          <w:lang w:val="ru-RU"/>
        </w:rPr>
        <w:t>10</w:t>
      </w:r>
      <w:r w:rsidR="002F240E">
        <w:rPr>
          <w:b/>
          <w:szCs w:val="24"/>
          <w:lang w:val="ru-RU"/>
        </w:rPr>
        <w:t>.2020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D65C1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2F240E" w:rsidRDefault="00E35DB4" w:rsidP="00E35DB4">
            <w:pPr>
              <w:jc w:val="both"/>
              <w:rPr>
                <w:sz w:val="18"/>
                <w:szCs w:val="28"/>
                <w:lang w:val="ru-RU"/>
              </w:rPr>
            </w:pPr>
            <w:r w:rsidRPr="00E35DB4">
              <w:rPr>
                <w:b/>
                <w:szCs w:val="24"/>
              </w:rPr>
              <w:t>Местоположение земельного участка:</w:t>
            </w:r>
            <w:r w:rsidR="005D65C1">
              <w:rPr>
                <w:sz w:val="28"/>
                <w:szCs w:val="28"/>
              </w:rPr>
              <w:t xml:space="preserve"> </w:t>
            </w:r>
            <w:r w:rsidR="000269F0">
              <w:rPr>
                <w:sz w:val="28"/>
                <w:szCs w:val="28"/>
                <w:lang w:val="ru-RU"/>
              </w:rPr>
              <w:t>Российская Федерация,</w:t>
            </w:r>
            <w:r w:rsidR="005D65C1">
              <w:rPr>
                <w:sz w:val="28"/>
                <w:szCs w:val="28"/>
              </w:rPr>
              <w:t xml:space="preserve"> </w:t>
            </w:r>
            <w:r w:rsidR="005D65C1" w:rsidRPr="00E3521B">
              <w:rPr>
                <w:sz w:val="28"/>
                <w:szCs w:val="28"/>
              </w:rPr>
              <w:t>Ставропольский</w:t>
            </w:r>
            <w:r w:rsidR="005D65C1" w:rsidRPr="00BD1AF2">
              <w:rPr>
                <w:sz w:val="28"/>
                <w:szCs w:val="28"/>
              </w:rPr>
              <w:t xml:space="preserve"> край</w:t>
            </w:r>
            <w:r w:rsidR="005D65C1" w:rsidRPr="00E3521B">
              <w:rPr>
                <w:sz w:val="28"/>
                <w:szCs w:val="28"/>
              </w:rPr>
              <w:t xml:space="preserve">, </w:t>
            </w:r>
            <w:r w:rsidR="000269F0">
              <w:rPr>
                <w:sz w:val="28"/>
                <w:szCs w:val="28"/>
                <w:lang w:val="ru-RU"/>
              </w:rPr>
              <w:t xml:space="preserve">городской округ - </w:t>
            </w:r>
            <w:r w:rsidR="005D65C1" w:rsidRPr="00E3521B">
              <w:rPr>
                <w:sz w:val="28"/>
                <w:szCs w:val="28"/>
              </w:rPr>
              <w:t xml:space="preserve">город Невинномысск, </w:t>
            </w:r>
            <w:r w:rsidR="000269F0">
              <w:rPr>
                <w:sz w:val="28"/>
                <w:szCs w:val="28"/>
                <w:lang w:val="ru-RU"/>
              </w:rPr>
              <w:t xml:space="preserve">город Невинномысск, </w:t>
            </w:r>
            <w:r w:rsidR="005D65C1">
              <w:rPr>
                <w:sz w:val="28"/>
                <w:szCs w:val="28"/>
              </w:rPr>
              <w:t xml:space="preserve">улица </w:t>
            </w:r>
            <w:r w:rsidR="000269F0">
              <w:rPr>
                <w:sz w:val="28"/>
                <w:szCs w:val="28"/>
                <w:lang w:val="ru-RU"/>
              </w:rPr>
              <w:t>Энгельса, 110</w:t>
            </w:r>
            <w:r w:rsidR="002F240E">
              <w:rPr>
                <w:sz w:val="28"/>
                <w:szCs w:val="28"/>
                <w:lang w:val="ru-RU"/>
              </w:rPr>
              <w:t>.</w:t>
            </w:r>
          </w:p>
          <w:p w:rsidR="00CC680C" w:rsidRPr="00653695" w:rsidRDefault="00E35DB4" w:rsidP="004870A5">
            <w:pPr>
              <w:jc w:val="both"/>
              <w:rPr>
                <w:sz w:val="22"/>
                <w:szCs w:val="28"/>
              </w:rPr>
            </w:pPr>
            <w:r w:rsidRPr="00E35DB4">
              <w:rPr>
                <w:b/>
                <w:szCs w:val="24"/>
              </w:rPr>
              <w:t>Площадь земельного участка</w:t>
            </w:r>
            <w:r w:rsidRPr="00831927">
              <w:rPr>
                <w:b/>
                <w:szCs w:val="24"/>
              </w:rPr>
              <w:t xml:space="preserve">: </w:t>
            </w:r>
            <w:r w:rsidR="000269F0">
              <w:rPr>
                <w:b/>
                <w:szCs w:val="24"/>
                <w:lang w:val="ru-RU"/>
              </w:rPr>
              <w:t xml:space="preserve">552 </w:t>
            </w:r>
            <w:r w:rsidR="005D65C1" w:rsidRPr="00E3521B">
              <w:rPr>
                <w:sz w:val="28"/>
                <w:szCs w:val="28"/>
              </w:rPr>
              <w:t>кв.м.</w:t>
            </w:r>
          </w:p>
          <w:p w:rsidR="00653695" w:rsidRPr="00653695" w:rsidRDefault="00E35DB4" w:rsidP="00E35DB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>Кадастровый номер земельного участка:</w:t>
            </w:r>
            <w:r w:rsidRPr="002B12A6">
              <w:rPr>
                <w:szCs w:val="28"/>
              </w:rPr>
              <w:t xml:space="preserve"> </w:t>
            </w:r>
            <w:r w:rsidR="000269F0">
              <w:rPr>
                <w:sz w:val="28"/>
                <w:szCs w:val="28"/>
                <w:lang w:val="ru-RU"/>
              </w:rPr>
              <w:t>26</w:t>
            </w:r>
            <w:r w:rsidR="005D65C1" w:rsidRPr="00E3521B">
              <w:rPr>
                <w:sz w:val="28"/>
                <w:szCs w:val="28"/>
              </w:rPr>
              <w:t>:1</w:t>
            </w:r>
            <w:r w:rsidR="005D65C1">
              <w:rPr>
                <w:sz w:val="28"/>
                <w:szCs w:val="28"/>
              </w:rPr>
              <w:t>6</w:t>
            </w:r>
            <w:r w:rsidR="005D65C1" w:rsidRPr="00E3521B">
              <w:rPr>
                <w:sz w:val="28"/>
                <w:szCs w:val="28"/>
              </w:rPr>
              <w:t>:</w:t>
            </w:r>
            <w:r w:rsidR="002F240E">
              <w:rPr>
                <w:sz w:val="28"/>
                <w:szCs w:val="28"/>
                <w:lang w:val="ru-RU"/>
              </w:rPr>
              <w:t>0</w:t>
            </w:r>
            <w:r w:rsidR="000269F0">
              <w:rPr>
                <w:sz w:val="28"/>
                <w:szCs w:val="28"/>
                <w:lang w:val="ru-RU"/>
              </w:rPr>
              <w:t>60129</w:t>
            </w:r>
            <w:r w:rsidR="005D65C1" w:rsidRPr="00E3521B">
              <w:rPr>
                <w:sz w:val="28"/>
                <w:szCs w:val="28"/>
              </w:rPr>
              <w:t>:</w:t>
            </w:r>
            <w:r w:rsidR="000269F0">
              <w:rPr>
                <w:sz w:val="28"/>
                <w:szCs w:val="28"/>
                <w:lang w:val="ru-RU"/>
              </w:rPr>
              <w:t>30</w:t>
            </w:r>
            <w:r w:rsidR="005D65C1" w:rsidRPr="00E3521B">
              <w:rPr>
                <w:sz w:val="28"/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>Категория земель:</w:t>
            </w:r>
            <w:r w:rsidRPr="002B12A6">
              <w:rPr>
                <w:szCs w:val="28"/>
              </w:rPr>
              <w:t xml:space="preserve"> земли населенных пунктов.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>Разрешенное использование</w:t>
            </w:r>
            <w:r w:rsidRPr="002B12A6">
              <w:rPr>
                <w:szCs w:val="28"/>
              </w:rPr>
              <w:t xml:space="preserve">: </w:t>
            </w:r>
            <w:r w:rsidR="000269F0">
              <w:rPr>
                <w:szCs w:val="28"/>
                <w:lang w:val="ru-RU"/>
              </w:rPr>
              <w:t>для индивидуального жилищного строительства</w:t>
            </w:r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 xml:space="preserve">Начальная цена предмета аукциона: </w:t>
            </w:r>
            <w:r w:rsidR="000269F0">
              <w:rPr>
                <w:szCs w:val="28"/>
                <w:lang w:val="ru-RU"/>
              </w:rPr>
              <w:t>1 089 000</w:t>
            </w:r>
            <w:r w:rsidR="00CC680C" w:rsidRPr="002B12A6">
              <w:rPr>
                <w:szCs w:val="28"/>
              </w:rPr>
              <w:t>,00</w:t>
            </w:r>
            <w:r w:rsidRPr="002B12A6">
              <w:rPr>
                <w:szCs w:val="28"/>
              </w:rPr>
              <w:t>руб.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>Сумма задатка:</w:t>
            </w:r>
            <w:r w:rsidR="006C299B" w:rsidRPr="002B12A6">
              <w:rPr>
                <w:szCs w:val="28"/>
              </w:rPr>
              <w:t xml:space="preserve"> </w:t>
            </w:r>
            <w:r w:rsidR="00B53CD3">
              <w:rPr>
                <w:szCs w:val="28"/>
                <w:lang w:val="ru-RU"/>
              </w:rPr>
              <w:t>1 089 000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B2B91" w:rsidRPr="002B12A6">
              <w:rPr>
                <w:szCs w:val="28"/>
              </w:rPr>
              <w:t xml:space="preserve"> руб.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B53CD3">
              <w:rPr>
                <w:szCs w:val="24"/>
                <w:lang w:val="ru-RU"/>
              </w:rPr>
              <w:t>32 670,0</w:t>
            </w:r>
            <w:r w:rsidR="005D65C1">
              <w:rPr>
                <w:szCs w:val="24"/>
                <w:lang w:val="ru-RU"/>
              </w:rPr>
              <w:t>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r w:rsidRPr="00831927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CC680C" w:rsidRDefault="00B53CD3" w:rsidP="00CC680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Земельный участок частично находится на границе защитной зоны объекта культурного наследия – памятник В.И. Ленину, ул. Гагарина, 114. Решение крайисполкома </w:t>
            </w:r>
            <w:r w:rsidR="002F547A">
              <w:rPr>
                <w:szCs w:val="24"/>
                <w:lang w:val="ru-RU"/>
              </w:rPr>
              <w:t xml:space="preserve">                  </w:t>
            </w:r>
            <w:r>
              <w:rPr>
                <w:szCs w:val="24"/>
                <w:lang w:val="ru-RU"/>
              </w:rPr>
              <w:t>от 01.10.1981 №</w:t>
            </w:r>
            <w:r w:rsidR="002F547A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702.</w:t>
            </w:r>
            <w:r w:rsidR="002F547A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Процент пересечения - 39,5%</w:t>
            </w:r>
          </w:p>
          <w:p w:rsidR="003D1092" w:rsidRPr="003D1092" w:rsidRDefault="003D1092" w:rsidP="00CC680C">
            <w:pPr>
              <w:jc w:val="both"/>
              <w:rPr>
                <w:szCs w:val="24"/>
                <w:lang w:val="ru-RU"/>
              </w:rPr>
            </w:pPr>
            <w:r w:rsidRPr="003D1092">
              <w:rPr>
                <w:b/>
                <w:szCs w:val="24"/>
                <w:lang w:val="ru-RU"/>
              </w:rPr>
              <w:t>Сведения о правах: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3D1092">
              <w:rPr>
                <w:szCs w:val="24"/>
                <w:lang w:val="ru-RU"/>
              </w:rPr>
              <w:t>право государственной собственности на земельный участок не разграничено.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r w:rsidRPr="006E4A74">
              <w:rPr>
                <w:b/>
                <w:szCs w:val="28"/>
              </w:rPr>
              <w:t>Границы земельного</w:t>
            </w:r>
            <w:r w:rsidRPr="006E4A74">
              <w:rPr>
                <w:b/>
                <w:szCs w:val="24"/>
              </w:rPr>
              <w:t xml:space="preserve"> участка</w:t>
            </w:r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3D1092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 xml:space="preserve">роительства зоны </w:t>
            </w:r>
            <w:r w:rsidR="003D1092">
              <w:rPr>
                <w:szCs w:val="24"/>
                <w:lang w:val="ru-RU"/>
              </w:rPr>
              <w:t>Ж-3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Pr="003D109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Срок подключения объекта: не позднее 18 месяцев с даты заключения договора о подключении, если более длительные сроки не указаны на заявке заказчика.</w:t>
      </w:r>
    </w:p>
    <w:p w:rsidR="003D1092" w:rsidRPr="003D1092" w:rsidRDefault="003D1092" w:rsidP="003D1092">
      <w:pPr>
        <w:jc w:val="both"/>
        <w:rPr>
          <w:szCs w:val="24"/>
        </w:rPr>
      </w:pPr>
      <w:r w:rsidRPr="003D1092">
        <w:rPr>
          <w:szCs w:val="24"/>
        </w:rPr>
        <w:lastRenderedPageBreak/>
        <w:t>Срок действия технических условий: 3 года.</w:t>
      </w:r>
    </w:p>
    <w:p w:rsidR="003D1092" w:rsidRPr="003D1092" w:rsidRDefault="003D1092" w:rsidP="003D1092">
      <w:pPr>
        <w:jc w:val="both"/>
        <w:rPr>
          <w:szCs w:val="24"/>
        </w:rPr>
      </w:pPr>
      <w:r w:rsidRPr="003D1092">
        <w:rPr>
          <w:szCs w:val="24"/>
        </w:rPr>
        <w:t>Условия подключения:</w:t>
      </w:r>
    </w:p>
    <w:p w:rsidR="003D1092" w:rsidRPr="003D1092" w:rsidRDefault="003D1092" w:rsidP="003D1092">
      <w:pPr>
        <w:jc w:val="both"/>
        <w:rPr>
          <w:szCs w:val="24"/>
        </w:rPr>
      </w:pPr>
      <w:r w:rsidRPr="003D1092">
        <w:rPr>
          <w:szCs w:val="24"/>
        </w:rPr>
        <w:t>Водоснабжение: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Максимально разрешенный расход воды: 1,0 м3/сутки.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-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3D1092" w:rsidRPr="003D1092" w:rsidRDefault="003D1092" w:rsidP="003D1092">
      <w:pPr>
        <w:jc w:val="both"/>
        <w:rPr>
          <w:szCs w:val="24"/>
        </w:rPr>
      </w:pPr>
      <w:r w:rsidRPr="003D1092">
        <w:rPr>
          <w:szCs w:val="24"/>
        </w:rPr>
        <w:t xml:space="preserve">Водоотведение: 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Максимально разрешенный сброс сточных вод: 1,0 м3/сутки.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Особые условия  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к типовому договору о подключении (технологическом присоединении) к централизованной системе холодного водоснабжения.</w:t>
      </w:r>
    </w:p>
    <w:p w:rsidR="003D1092" w:rsidRDefault="003D1092" w:rsidP="003D1092">
      <w:pPr>
        <w:ind w:firstLine="709"/>
        <w:jc w:val="both"/>
        <w:rPr>
          <w:szCs w:val="24"/>
          <w:lang w:val="ru-RU"/>
        </w:rPr>
      </w:pPr>
      <w:r w:rsidRPr="003D1092">
        <w:rPr>
          <w:szCs w:val="24"/>
        </w:rPr>
        <w:t>Настоящие технические условия подключения объекта капитального строительства не могут служить основанием  для разработки проектной документации.</w:t>
      </w:r>
    </w:p>
    <w:p w:rsidR="003D1092" w:rsidRPr="003D1092" w:rsidRDefault="003D1092" w:rsidP="003D1092">
      <w:pPr>
        <w:ind w:firstLine="709"/>
        <w:jc w:val="both"/>
        <w:rPr>
          <w:b/>
          <w:szCs w:val="24"/>
        </w:rPr>
      </w:pPr>
      <w:r w:rsidRPr="003D1092">
        <w:rPr>
          <w:b/>
          <w:szCs w:val="24"/>
          <w:lang w:val="ru-RU"/>
        </w:rPr>
        <w:t>9.2</w:t>
      </w:r>
      <w:r>
        <w:rPr>
          <w:b/>
          <w:szCs w:val="24"/>
          <w:lang w:val="ru-RU"/>
        </w:rPr>
        <w:t xml:space="preserve">. </w:t>
      </w:r>
      <w:r w:rsidRPr="003D1092">
        <w:rPr>
          <w:b/>
          <w:szCs w:val="24"/>
        </w:rPr>
        <w:t>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Основания для выдачи технических условий подключения: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запрос № 1291/27 от 15.05.2020 г.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Наименование объекта: индивидуальное жилищное строительство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Место расположение объекта: г. Невинномысск, ул. Энгельса, 110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Кадастровый номер земельного участка: 26:16:060129:30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Максимальный часовой расход газа: 5,0 м3/час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Источник газоснабжения: ГРС-1А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Сроки подключения (технического присоединения):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1 год с даты заключения договора о подключении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Срок действия технических условий: 2 года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Для заключения договора не подключение необходимо направить заявку о подключении (технологическом присоединении) в                                     АО «Невинномысскгоргаз» с письменным согласием собственника (застройщика) распределительного газопровода.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3D1092" w:rsidRPr="003D1092" w:rsidRDefault="003D1092" w:rsidP="003D1092">
      <w:pPr>
        <w:ind w:firstLine="709"/>
        <w:jc w:val="both"/>
        <w:rPr>
          <w:szCs w:val="24"/>
        </w:rPr>
      </w:pPr>
      <w:r w:rsidRPr="003D1092">
        <w:rPr>
          <w:szCs w:val="24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4B7EE7" w:rsidP="004B7EE7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9.</w:t>
      </w:r>
      <w:r w:rsidR="003D1092">
        <w:rPr>
          <w:b/>
          <w:bCs/>
          <w:szCs w:val="24"/>
          <w:lang w:val="ru-RU"/>
        </w:rPr>
        <w:t>3</w:t>
      </w:r>
      <w:r w:rsidR="00F0625C" w:rsidRPr="00151C7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3D1092" w:rsidRPr="003D1092" w:rsidRDefault="003D1092" w:rsidP="003D1092">
      <w:pPr>
        <w:ind w:firstLine="709"/>
        <w:jc w:val="both"/>
        <w:rPr>
          <w:szCs w:val="28"/>
        </w:rPr>
      </w:pPr>
      <w:r w:rsidRPr="003D1092">
        <w:rPr>
          <w:szCs w:val="28"/>
        </w:rPr>
        <w:t>Технические условия на подключение (технологическое присоединение) к системе центрального теплоснабжения, объекта капитального строительства по улице Энгельса, 110 (кадастровый номер земельного участка 26:16:060129:30)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B7EE7" w:rsidRPr="004B7EE7" w:rsidRDefault="004B7EE7" w:rsidP="004B7EE7">
      <w:pPr>
        <w:jc w:val="both"/>
        <w:rPr>
          <w:b/>
          <w:szCs w:val="28"/>
          <w:lang w:val="ru-RU" w:eastAsia="ru-RU"/>
        </w:rPr>
      </w:pPr>
      <w:r>
        <w:rPr>
          <w:b/>
          <w:szCs w:val="24"/>
          <w:lang w:val="ru-RU"/>
        </w:rPr>
        <w:t>9.</w:t>
      </w:r>
      <w:r w:rsidR="003D1092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.</w:t>
      </w:r>
      <w:r w:rsidRPr="004B7EE7">
        <w:rPr>
          <w:b/>
          <w:bCs/>
          <w:szCs w:val="24"/>
          <w:lang w:val="ru-RU"/>
        </w:rPr>
        <w:t xml:space="preserve"> </w:t>
      </w:r>
      <w:r w:rsidRPr="004B7EE7">
        <w:rPr>
          <w:b/>
          <w:szCs w:val="28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3D1092" w:rsidRPr="003D1092" w:rsidRDefault="003D1092" w:rsidP="003D1092">
      <w:pPr>
        <w:ind w:firstLine="709"/>
        <w:jc w:val="both"/>
        <w:rPr>
          <w:szCs w:val="28"/>
        </w:rPr>
      </w:pPr>
      <w:r w:rsidRPr="003D1092">
        <w:rPr>
          <w:szCs w:val="28"/>
        </w:rPr>
        <w:t xml:space="preserve">Плата за осуществление технологического присоединения определяется согласно действующему законодательству, а так же в соответствии с постановлением Регионального тарифной комиссии Ставропольского края от 26.12.2018 г. № 60/9. </w:t>
      </w:r>
    </w:p>
    <w:p w:rsidR="003D1092" w:rsidRPr="003D1092" w:rsidRDefault="003D1092" w:rsidP="003D1092">
      <w:pPr>
        <w:ind w:firstLine="709"/>
        <w:jc w:val="both"/>
        <w:rPr>
          <w:szCs w:val="28"/>
        </w:rPr>
      </w:pPr>
      <w:r w:rsidRPr="003D1092">
        <w:rPr>
          <w:szCs w:val="28"/>
        </w:rPr>
        <w:lastRenderedPageBreak/>
        <w:t>Согласно действующему законодательству, а именно статье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Федерации.</w:t>
      </w:r>
    </w:p>
    <w:p w:rsidR="003D1092" w:rsidRPr="003D1092" w:rsidRDefault="003D1092" w:rsidP="003D1092">
      <w:pPr>
        <w:ind w:firstLine="709"/>
        <w:jc w:val="both"/>
        <w:rPr>
          <w:szCs w:val="28"/>
        </w:rPr>
      </w:pPr>
      <w:r w:rsidRPr="003D1092">
        <w:rPr>
          <w:szCs w:val="28"/>
        </w:rPr>
        <w:t>Только после поступления в адрес АО «НЭСК» оформленной заявки на осуществление технологического присоединения, с обязательным перечнем документов, согласно п. 10 постановления Правительства Росси</w:t>
      </w:r>
      <w:r w:rsidR="002D6C15">
        <w:rPr>
          <w:szCs w:val="28"/>
          <w:lang w:val="ru-RU"/>
        </w:rPr>
        <w:t xml:space="preserve"> </w:t>
      </w:r>
      <w:bookmarkStart w:id="0" w:name="_GoBack"/>
      <w:bookmarkEnd w:id="0"/>
      <w:r w:rsidRPr="003D1092">
        <w:rPr>
          <w:szCs w:val="28"/>
        </w:rPr>
        <w:t>йской Федерации</w:t>
      </w:r>
      <w:r w:rsidR="000E1110">
        <w:rPr>
          <w:szCs w:val="28"/>
          <w:lang w:val="ru-RU"/>
        </w:rPr>
        <w:t xml:space="preserve">                                    </w:t>
      </w:r>
      <w:r w:rsidRPr="003D1092">
        <w:rPr>
          <w:szCs w:val="28"/>
        </w:rPr>
        <w:t xml:space="preserve"> № 861 от 27.12.2004 г. будет определена точка технологического присоединения с мероприятиями сетевой организации и заявителя, а также установлена плата за осуществление технологического присоединения.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Прием заявок с  прилагаемыми к  ним  документами  осуществляется </w:t>
      </w:r>
      <w:r w:rsidR="00BB6B6D" w:rsidRPr="00297312">
        <w:rPr>
          <w:szCs w:val="24"/>
          <w:lang w:val="ru-RU"/>
        </w:rPr>
        <w:t>по рабочим дням</w:t>
      </w:r>
      <w:r w:rsidR="00BB6B6D" w:rsidRPr="00A2655C">
        <w:rPr>
          <w:b/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0647E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8B0029">
        <w:rPr>
          <w:b/>
          <w:szCs w:val="24"/>
          <w:lang w:val="ru-RU"/>
        </w:rPr>
        <w:t>0</w:t>
      </w:r>
      <w:r w:rsidR="000647E0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0647E0">
        <w:rPr>
          <w:b/>
          <w:szCs w:val="24"/>
          <w:lang w:val="ru-RU"/>
        </w:rPr>
        <w:t>08.10</w:t>
      </w:r>
      <w:r w:rsid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lastRenderedPageBreak/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0647E0">
        <w:rPr>
          <w:b/>
          <w:szCs w:val="24"/>
          <w:lang w:val="ru-RU"/>
        </w:rPr>
        <w:t>09</w:t>
      </w:r>
      <w:r w:rsidR="003B176E">
        <w:rPr>
          <w:b/>
          <w:szCs w:val="24"/>
          <w:lang w:val="ru-RU"/>
        </w:rPr>
        <w:t>.</w:t>
      </w:r>
      <w:r w:rsidR="000647E0">
        <w:rPr>
          <w:b/>
          <w:szCs w:val="24"/>
          <w:lang w:val="ru-RU"/>
        </w:rPr>
        <w:t>10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0647E0">
        <w:rPr>
          <w:b/>
          <w:szCs w:val="24"/>
          <w:lang w:val="ru-RU"/>
        </w:rPr>
        <w:t>09.10.</w:t>
      </w:r>
      <w:r w:rsidR="003B176E" w:rsidRPr="003B176E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20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C577AA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</w:t>
      </w:r>
      <w:r w:rsidR="000647E0">
        <w:rPr>
          <w:b/>
          <w:szCs w:val="24"/>
          <w:lang w:val="ru-RU"/>
        </w:rPr>
        <w:t>10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20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 xml:space="preserve">ственному принявшему участие в аукционе его участнику три экземпляра </w:t>
      </w:r>
      <w:r w:rsidR="00010DCA" w:rsidRPr="00062C40">
        <w:rPr>
          <w:szCs w:val="24"/>
          <w:lang w:val="ru-RU"/>
        </w:rPr>
        <w:lastRenderedPageBreak/>
        <w:t>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0647E0">
        <w:rPr>
          <w:b/>
          <w:szCs w:val="24"/>
          <w:lang w:val="ru-RU"/>
        </w:rPr>
        <w:t>12.09.</w:t>
      </w:r>
      <w:r w:rsidR="000647E0" w:rsidRPr="00A2655C">
        <w:rPr>
          <w:b/>
          <w:szCs w:val="24"/>
          <w:lang w:val="ru-RU"/>
        </w:rPr>
        <w:t>20</w:t>
      </w:r>
      <w:r w:rsidR="000647E0">
        <w:rPr>
          <w:b/>
          <w:szCs w:val="24"/>
          <w:lang w:val="ru-RU"/>
        </w:rPr>
        <w:t xml:space="preserve">20 </w:t>
      </w:r>
      <w:r w:rsidR="000647E0" w:rsidRPr="00A2655C">
        <w:rPr>
          <w:b/>
          <w:szCs w:val="24"/>
          <w:lang w:val="ru-RU"/>
        </w:rPr>
        <w:t xml:space="preserve">по </w:t>
      </w:r>
      <w:r w:rsidR="000647E0">
        <w:rPr>
          <w:b/>
          <w:szCs w:val="24"/>
          <w:lang w:val="ru-RU"/>
        </w:rPr>
        <w:t>08.10.2020</w:t>
      </w:r>
      <w:r w:rsidR="000647E0" w:rsidRPr="00297312">
        <w:rPr>
          <w:b/>
          <w:szCs w:val="24"/>
          <w:lang w:val="ru-RU"/>
        </w:rPr>
        <w:t xml:space="preserve"> 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1F" w:rsidRDefault="0075601F">
      <w:r>
        <w:separator/>
      </w:r>
    </w:p>
  </w:endnote>
  <w:endnote w:type="continuationSeparator" w:id="0">
    <w:p w:rsidR="0075601F" w:rsidRDefault="0075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1F" w:rsidRDefault="0075601F">
      <w:r>
        <w:separator/>
      </w:r>
    </w:p>
  </w:footnote>
  <w:footnote w:type="continuationSeparator" w:id="0">
    <w:p w:rsidR="0075601F" w:rsidRDefault="0075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C15">
      <w:rPr>
        <w:rStyle w:val="a6"/>
        <w:noProof/>
      </w:rPr>
      <w:t>3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269F0"/>
    <w:rsid w:val="00033E20"/>
    <w:rsid w:val="000461C9"/>
    <w:rsid w:val="00051810"/>
    <w:rsid w:val="00060FBC"/>
    <w:rsid w:val="00062C40"/>
    <w:rsid w:val="00063472"/>
    <w:rsid w:val="00063489"/>
    <w:rsid w:val="000647E0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110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6C15"/>
    <w:rsid w:val="002D7949"/>
    <w:rsid w:val="002F1EDD"/>
    <w:rsid w:val="002F240E"/>
    <w:rsid w:val="002F3D6B"/>
    <w:rsid w:val="002F547A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D1092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299A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3CD3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2455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577AA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17384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42</cp:revision>
  <cp:lastPrinted>2020-09-10T08:27:00Z</cp:lastPrinted>
  <dcterms:created xsi:type="dcterms:W3CDTF">2017-08-30T13:19:00Z</dcterms:created>
  <dcterms:modified xsi:type="dcterms:W3CDTF">2020-09-10T10:56:00Z</dcterms:modified>
</cp:coreProperties>
</file>